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C0AA" w14:textId="0B0A5716" w:rsidR="00F77E84" w:rsidRDefault="00F77E84" w:rsidP="00AF3355">
      <w:pPr>
        <w:overflowPunct/>
        <w:autoSpaceDE/>
        <w:autoSpaceDN/>
        <w:adjustRightInd/>
        <w:spacing w:after="120"/>
        <w:jc w:val="center"/>
        <w:textAlignment w:val="auto"/>
        <w:rPr>
          <w:b/>
          <w:bCs/>
          <w:lang w:eastAsia="ja-JP"/>
        </w:rPr>
      </w:pPr>
      <w:r w:rsidRPr="00726947">
        <w:rPr>
          <w:b/>
          <w:bCs/>
          <w:i/>
          <w:lang w:eastAsia="ja-JP"/>
        </w:rPr>
        <w:t>AD HOC</w:t>
      </w:r>
      <w:r w:rsidRPr="00726947">
        <w:rPr>
          <w:b/>
          <w:bCs/>
          <w:lang w:eastAsia="ja-JP"/>
        </w:rPr>
        <w:t xml:space="preserve"> GROUP ON </w:t>
      </w:r>
      <w:r w:rsidR="001E5D32" w:rsidRPr="001E5D32">
        <w:rPr>
          <w:b/>
          <w:bCs/>
          <w:lang w:eastAsia="ja-JP"/>
        </w:rPr>
        <w:t>EMERGENCY DISEASE PREPAREDNESS AND DISEASE OUTBREAK MANAGEMENT</w:t>
      </w:r>
    </w:p>
    <w:p w14:paraId="08382B21" w14:textId="1FD74B47" w:rsidR="00AF3355" w:rsidRPr="00726947" w:rsidRDefault="00AF3355" w:rsidP="00AF3355">
      <w:pPr>
        <w:overflowPunct/>
        <w:autoSpaceDE/>
        <w:autoSpaceDN/>
        <w:adjustRightInd/>
        <w:spacing w:after="120"/>
        <w:jc w:val="center"/>
        <w:textAlignment w:val="auto"/>
        <w:rPr>
          <w:b/>
          <w:bCs/>
          <w:lang w:eastAsia="ja-JP"/>
        </w:rPr>
      </w:pPr>
      <w:r>
        <w:rPr>
          <w:b/>
          <w:bCs/>
          <w:lang w:eastAsia="ja-JP"/>
        </w:rPr>
        <w:t xml:space="preserve">Paris, </w:t>
      </w:r>
      <w:r w:rsidR="005202F5">
        <w:rPr>
          <w:b/>
          <w:bCs/>
          <w:lang w:eastAsia="ja-JP"/>
        </w:rPr>
        <w:t>November 2021</w:t>
      </w:r>
    </w:p>
    <w:p w14:paraId="6DDB3DB8" w14:textId="77777777" w:rsidR="00794D8D" w:rsidRDefault="00794D8D" w:rsidP="00BD3159">
      <w:pPr>
        <w:overflowPunct/>
        <w:autoSpaceDE/>
        <w:autoSpaceDN/>
        <w:adjustRightInd/>
        <w:spacing w:before="360"/>
        <w:jc w:val="center"/>
        <w:textAlignment w:val="auto"/>
        <w:rPr>
          <w:b/>
          <w:bCs/>
          <w:lang w:eastAsia="ja-JP"/>
        </w:rPr>
      </w:pPr>
      <w:r w:rsidRPr="00726947">
        <w:rPr>
          <w:b/>
          <w:bCs/>
          <w:lang w:eastAsia="ja-JP"/>
        </w:rPr>
        <w:t>TERMS OF REFERENCE</w:t>
      </w:r>
    </w:p>
    <w:p w14:paraId="4B239FBC" w14:textId="77777777" w:rsidR="00CF35C8" w:rsidRDefault="00CF35C8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</w:p>
    <w:p w14:paraId="1B90EF26" w14:textId="7AE8AC36" w:rsidR="00F77E84" w:rsidRPr="0071771C" w:rsidRDefault="00F77E84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Cs/>
          <w:sz w:val="22"/>
          <w:szCs w:val="22"/>
          <w:lang w:eastAsia="ja-JP"/>
        </w:rPr>
      </w:pPr>
      <w:r w:rsidRPr="0071771C">
        <w:rPr>
          <w:b/>
          <w:bCs/>
          <w:sz w:val="22"/>
          <w:szCs w:val="22"/>
          <w:lang w:eastAsia="ja-JP"/>
        </w:rPr>
        <w:t xml:space="preserve">Purpose </w:t>
      </w:r>
    </w:p>
    <w:p w14:paraId="2F82FF55" w14:textId="53740940" w:rsidR="001E5D32" w:rsidRDefault="001E5D32" w:rsidP="001E5D32">
      <w:pPr>
        <w:spacing w:after="240" w:line="276" w:lineRule="auto"/>
        <w:jc w:val="both"/>
      </w:pPr>
      <w:r w:rsidRPr="00DB5FAF">
        <w:t xml:space="preserve">The </w:t>
      </w:r>
      <w:r>
        <w:t>purpose of th</w:t>
      </w:r>
      <w:r w:rsidR="003F374A">
        <w:t>is</w:t>
      </w:r>
      <w:r>
        <w:t xml:space="preserve"> </w:t>
      </w:r>
      <w:r w:rsidRPr="00463338">
        <w:rPr>
          <w:i/>
        </w:rPr>
        <w:t>ad hoc</w:t>
      </w:r>
      <w:r w:rsidRPr="00DB5FAF">
        <w:t xml:space="preserve"> Group on </w:t>
      </w:r>
      <w:r w:rsidR="003F374A">
        <w:t>E</w:t>
      </w:r>
      <w:r>
        <w:t xml:space="preserve">mergency disease preparedness and </w:t>
      </w:r>
      <w:r w:rsidR="005202F5">
        <w:t>D</w:t>
      </w:r>
      <w:r>
        <w:t>isease outbreak management</w:t>
      </w:r>
      <w:r w:rsidRPr="00DB5FAF">
        <w:t xml:space="preserve"> </w:t>
      </w:r>
      <w:r>
        <w:t>is to develop two new draft chapters for inclusion in S</w:t>
      </w:r>
      <w:r w:rsidRPr="00DB5FAF">
        <w:t xml:space="preserve">ection 4 of the </w:t>
      </w:r>
      <w:r w:rsidRPr="00DB5FAF">
        <w:rPr>
          <w:i/>
        </w:rPr>
        <w:t>Aquatic Code</w:t>
      </w:r>
      <w:r w:rsidRPr="00DB5FAF">
        <w:t xml:space="preserve">. </w:t>
      </w:r>
    </w:p>
    <w:p w14:paraId="7826082F" w14:textId="1EF90486" w:rsidR="009D554A" w:rsidRDefault="003F374A" w:rsidP="00DC1047">
      <w:pPr>
        <w:widowControl w:val="0"/>
        <w:overflowPunct/>
        <w:autoSpaceDE/>
        <w:adjustRightInd/>
        <w:spacing w:before="240" w:after="240"/>
        <w:jc w:val="both"/>
        <w:textAlignment w:val="auto"/>
      </w:pPr>
      <w:r>
        <w:rPr>
          <w:bCs/>
          <w:lang w:eastAsia="ja-JP"/>
        </w:rPr>
        <w:t>T</w:t>
      </w:r>
      <w:r w:rsidR="009D554A">
        <w:rPr>
          <w:bCs/>
          <w:lang w:eastAsia="ja-JP"/>
        </w:rPr>
        <w:t>he Aquatic Animal Health Standards Commission (</w:t>
      </w:r>
      <w:r w:rsidR="009D554A" w:rsidRPr="002174F5">
        <w:t>the Aquatic Animals Commission</w:t>
      </w:r>
      <w:r w:rsidR="009D554A">
        <w:t>)</w:t>
      </w:r>
      <w:r>
        <w:t xml:space="preserve"> requested that an </w:t>
      </w:r>
      <w:r w:rsidRPr="00B56257">
        <w:rPr>
          <w:bCs/>
          <w:i/>
          <w:iCs/>
          <w:lang w:eastAsia="ja-JP"/>
        </w:rPr>
        <w:t>ad hoc</w:t>
      </w:r>
      <w:r>
        <w:rPr>
          <w:bCs/>
          <w:lang w:eastAsia="ja-JP"/>
        </w:rPr>
        <w:t xml:space="preserve"> Group be convened to undertake this work, which was approved </w:t>
      </w:r>
      <w:r w:rsidR="009D554A">
        <w:rPr>
          <w:bCs/>
          <w:lang w:eastAsia="ja-JP"/>
        </w:rPr>
        <w:t>by the OIE Director General.</w:t>
      </w:r>
    </w:p>
    <w:p w14:paraId="63903597" w14:textId="4E81335B" w:rsidR="0017651E" w:rsidRPr="0071771C" w:rsidRDefault="0017651E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  <w:r w:rsidRPr="0071771C">
        <w:rPr>
          <w:b/>
          <w:bCs/>
          <w:sz w:val="22"/>
          <w:szCs w:val="22"/>
          <w:lang w:eastAsia="ja-JP"/>
        </w:rPr>
        <w:t>Background</w:t>
      </w:r>
      <w:r w:rsidR="00E64903" w:rsidRPr="0071771C">
        <w:rPr>
          <w:b/>
          <w:bCs/>
          <w:sz w:val="22"/>
          <w:szCs w:val="22"/>
          <w:lang w:eastAsia="ja-JP"/>
        </w:rPr>
        <w:t xml:space="preserve"> </w:t>
      </w:r>
    </w:p>
    <w:p w14:paraId="7E8A0A15" w14:textId="5D7328FC" w:rsidR="009F0254" w:rsidRDefault="001E5D32" w:rsidP="001E5D32">
      <w:pPr>
        <w:widowControl w:val="0"/>
        <w:overflowPunct/>
        <w:autoSpaceDE/>
        <w:adjustRightInd/>
        <w:spacing w:after="240"/>
        <w:jc w:val="both"/>
        <w:textAlignment w:val="auto"/>
        <w:rPr>
          <w:bCs/>
          <w:lang w:eastAsia="ja-JP"/>
        </w:rPr>
      </w:pPr>
      <w:r w:rsidRPr="001E5D32">
        <w:rPr>
          <w:bCs/>
          <w:lang w:eastAsia="ja-JP"/>
        </w:rPr>
        <w:t>Section 4</w:t>
      </w:r>
      <w:r w:rsidR="00C07694">
        <w:rPr>
          <w:bCs/>
          <w:lang w:eastAsia="ja-JP"/>
        </w:rPr>
        <w:t xml:space="preserve"> D</w:t>
      </w:r>
      <w:r w:rsidR="00C07694" w:rsidRPr="001E5D32">
        <w:rPr>
          <w:bCs/>
          <w:lang w:eastAsia="ja-JP"/>
        </w:rPr>
        <w:t>isease prevention and control</w:t>
      </w:r>
      <w:r w:rsidR="00C07694">
        <w:rPr>
          <w:bCs/>
          <w:lang w:eastAsia="ja-JP"/>
        </w:rPr>
        <w:t>,</w:t>
      </w:r>
      <w:r w:rsidRPr="001E5D32">
        <w:rPr>
          <w:bCs/>
          <w:lang w:eastAsia="ja-JP"/>
        </w:rPr>
        <w:t xml:space="preserve"> of the </w:t>
      </w:r>
      <w:r w:rsidRPr="001E5D32">
        <w:rPr>
          <w:bCs/>
          <w:i/>
          <w:iCs/>
          <w:lang w:eastAsia="ja-JP"/>
        </w:rPr>
        <w:t>Aquatic Code</w:t>
      </w:r>
      <w:r w:rsidRPr="001E5D32">
        <w:rPr>
          <w:bCs/>
          <w:lang w:eastAsia="ja-JP"/>
        </w:rPr>
        <w:t xml:space="preserve"> is being progressively revised by the Aquatic Animals Commission. </w:t>
      </w:r>
      <w:r w:rsidR="00C07694">
        <w:rPr>
          <w:bCs/>
          <w:lang w:eastAsia="ja-JP"/>
        </w:rPr>
        <w:t>The latest amendment was the inclusion of a</w:t>
      </w:r>
      <w:r w:rsidRPr="001E5D32">
        <w:rPr>
          <w:bCs/>
          <w:lang w:eastAsia="ja-JP"/>
        </w:rPr>
        <w:t xml:space="preserve"> new Chapter 4.1</w:t>
      </w:r>
      <w:r w:rsidR="005604ED">
        <w:rPr>
          <w:bCs/>
          <w:lang w:eastAsia="ja-JP"/>
        </w:rPr>
        <w:t>.</w:t>
      </w:r>
      <w:r w:rsidRPr="001E5D32">
        <w:rPr>
          <w:bCs/>
          <w:lang w:eastAsia="ja-JP"/>
        </w:rPr>
        <w:t xml:space="preserve"> </w:t>
      </w:r>
      <w:r w:rsidR="00C07694">
        <w:rPr>
          <w:bCs/>
          <w:lang w:eastAsia="ja-JP"/>
        </w:rPr>
        <w:t>B</w:t>
      </w:r>
      <w:r w:rsidRPr="001E5D32">
        <w:rPr>
          <w:bCs/>
          <w:lang w:eastAsia="ja-JP"/>
        </w:rPr>
        <w:t>iosecurity for aquaculture establishments</w:t>
      </w:r>
      <w:r w:rsidR="00C07694">
        <w:rPr>
          <w:bCs/>
          <w:lang w:eastAsia="ja-JP"/>
        </w:rPr>
        <w:t>,</w:t>
      </w:r>
      <w:r w:rsidRPr="001E5D32">
        <w:rPr>
          <w:bCs/>
          <w:lang w:eastAsia="ja-JP"/>
        </w:rPr>
        <w:t xml:space="preserve"> adopted in May 2021</w:t>
      </w:r>
      <w:r w:rsidR="00C07694">
        <w:rPr>
          <w:bCs/>
          <w:lang w:eastAsia="ja-JP"/>
        </w:rPr>
        <w:t xml:space="preserve">. The </w:t>
      </w:r>
      <w:r w:rsidRPr="001E5D32">
        <w:rPr>
          <w:bCs/>
          <w:lang w:eastAsia="ja-JP"/>
        </w:rPr>
        <w:t xml:space="preserve">Commission </w:t>
      </w:r>
      <w:r w:rsidR="00C07694">
        <w:rPr>
          <w:bCs/>
          <w:lang w:eastAsia="ja-JP"/>
        </w:rPr>
        <w:t xml:space="preserve">agreed that the next priority was to </w:t>
      </w:r>
      <w:r w:rsidRPr="001E5D32">
        <w:rPr>
          <w:bCs/>
          <w:lang w:eastAsia="ja-JP"/>
        </w:rPr>
        <w:t>develop new chapters on emergency disease preparedness and disease outbreak management</w:t>
      </w:r>
      <w:r w:rsidR="00C07694">
        <w:rPr>
          <w:bCs/>
          <w:lang w:eastAsia="ja-JP"/>
        </w:rPr>
        <w:t>, respectively.</w:t>
      </w:r>
      <w:r w:rsidRPr="001E5D32">
        <w:rPr>
          <w:bCs/>
          <w:lang w:eastAsia="ja-JP"/>
        </w:rPr>
        <w:t xml:space="preserve"> </w:t>
      </w:r>
    </w:p>
    <w:p w14:paraId="0A9A2855" w14:textId="25F840C6" w:rsidR="00C07694" w:rsidRDefault="001E5D32" w:rsidP="001E5D32">
      <w:pPr>
        <w:widowControl w:val="0"/>
        <w:overflowPunct/>
        <w:autoSpaceDE/>
        <w:adjustRightInd/>
        <w:spacing w:after="240"/>
        <w:jc w:val="both"/>
        <w:textAlignment w:val="auto"/>
        <w:rPr>
          <w:bCs/>
          <w:lang w:eastAsia="ja-JP"/>
        </w:rPr>
      </w:pPr>
      <w:r w:rsidRPr="001E5D32">
        <w:rPr>
          <w:bCs/>
          <w:lang w:eastAsia="ja-JP"/>
        </w:rPr>
        <w:t xml:space="preserve">The </w:t>
      </w:r>
      <w:r w:rsidR="00C07694" w:rsidRPr="001E5D32">
        <w:rPr>
          <w:bCs/>
          <w:lang w:eastAsia="ja-JP"/>
        </w:rPr>
        <w:t xml:space="preserve">Commission </w:t>
      </w:r>
      <w:r w:rsidR="00C07694">
        <w:rPr>
          <w:bCs/>
          <w:lang w:eastAsia="ja-JP"/>
        </w:rPr>
        <w:t xml:space="preserve">had developed the draft </w:t>
      </w:r>
      <w:r w:rsidRPr="001E5D32">
        <w:rPr>
          <w:bCs/>
          <w:lang w:eastAsia="ja-JP"/>
        </w:rPr>
        <w:t>article structure for the</w:t>
      </w:r>
      <w:r w:rsidR="00C07694">
        <w:rPr>
          <w:bCs/>
          <w:lang w:eastAsia="ja-JP"/>
        </w:rPr>
        <w:t>se</w:t>
      </w:r>
      <w:r w:rsidRPr="001E5D32">
        <w:rPr>
          <w:bCs/>
          <w:lang w:eastAsia="ja-JP"/>
        </w:rPr>
        <w:t xml:space="preserve"> </w:t>
      </w:r>
      <w:r w:rsidR="00C07694">
        <w:rPr>
          <w:bCs/>
          <w:lang w:eastAsia="ja-JP"/>
        </w:rPr>
        <w:t>two</w:t>
      </w:r>
      <w:r w:rsidRPr="001E5D32">
        <w:rPr>
          <w:bCs/>
          <w:lang w:eastAsia="ja-JP"/>
        </w:rPr>
        <w:t xml:space="preserve"> chapters </w:t>
      </w:r>
      <w:r w:rsidR="00C07694">
        <w:rPr>
          <w:bCs/>
          <w:lang w:eastAsia="ja-JP"/>
        </w:rPr>
        <w:t>which</w:t>
      </w:r>
      <w:r w:rsidRPr="001E5D32">
        <w:rPr>
          <w:bCs/>
          <w:lang w:eastAsia="ja-JP"/>
        </w:rPr>
        <w:t xml:space="preserve"> </w:t>
      </w:r>
      <w:r w:rsidR="009C30C1">
        <w:rPr>
          <w:bCs/>
          <w:lang w:eastAsia="ja-JP"/>
        </w:rPr>
        <w:t xml:space="preserve">was </w:t>
      </w:r>
      <w:r w:rsidRPr="001E5D32">
        <w:rPr>
          <w:bCs/>
          <w:lang w:eastAsia="ja-JP"/>
        </w:rPr>
        <w:t xml:space="preserve">circulated for Member comments in the Commission’s </w:t>
      </w:r>
      <w:hyperlink r:id="rId11" w:history="1">
        <w:r w:rsidRPr="00060B09">
          <w:rPr>
            <w:rStyle w:val="Hyperlink"/>
            <w:bCs/>
            <w:lang w:eastAsia="ja-JP"/>
          </w:rPr>
          <w:t>February 2021 report Part B</w:t>
        </w:r>
      </w:hyperlink>
      <w:r w:rsidRPr="001E5D32">
        <w:rPr>
          <w:bCs/>
          <w:lang w:eastAsia="ja-JP"/>
        </w:rPr>
        <w:t xml:space="preserve">. The </w:t>
      </w:r>
      <w:r w:rsidR="00C07694">
        <w:rPr>
          <w:bCs/>
          <w:lang w:eastAsia="ja-JP"/>
        </w:rPr>
        <w:t>Commission considered comments received a</w:t>
      </w:r>
      <w:r w:rsidR="003F374A">
        <w:rPr>
          <w:bCs/>
          <w:lang w:eastAsia="ja-JP"/>
        </w:rPr>
        <w:t>n</w:t>
      </w:r>
      <w:r w:rsidR="00C07694">
        <w:rPr>
          <w:bCs/>
          <w:lang w:eastAsia="ja-JP"/>
        </w:rPr>
        <w:t>d finalise</w:t>
      </w:r>
      <w:r w:rsidR="00471BDC">
        <w:rPr>
          <w:bCs/>
          <w:lang w:eastAsia="ja-JP"/>
        </w:rPr>
        <w:t>d</w:t>
      </w:r>
      <w:r w:rsidR="00C07694">
        <w:rPr>
          <w:bCs/>
          <w:lang w:eastAsia="ja-JP"/>
        </w:rPr>
        <w:t xml:space="preserve"> the draft structure for both chapters</w:t>
      </w:r>
      <w:r w:rsidRPr="001E5D32">
        <w:rPr>
          <w:bCs/>
          <w:lang w:eastAsia="ja-JP"/>
        </w:rPr>
        <w:t xml:space="preserve">. </w:t>
      </w:r>
    </w:p>
    <w:p w14:paraId="30EC8812" w14:textId="76E7582D" w:rsidR="00794D8D" w:rsidRPr="0071771C" w:rsidRDefault="003B4F46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A</w:t>
      </w:r>
      <w:r w:rsidR="00FC103B">
        <w:rPr>
          <w:b/>
          <w:bCs/>
          <w:sz w:val="22"/>
          <w:szCs w:val="22"/>
          <w:lang w:eastAsia="ja-JP"/>
        </w:rPr>
        <w:t>ctions</w:t>
      </w:r>
      <w:r w:rsidR="001A410A">
        <w:rPr>
          <w:b/>
          <w:bCs/>
          <w:sz w:val="22"/>
          <w:szCs w:val="22"/>
          <w:lang w:eastAsia="ja-JP"/>
        </w:rPr>
        <w:t xml:space="preserve"> to deliver</w:t>
      </w:r>
      <w:r w:rsidR="00023981">
        <w:rPr>
          <w:b/>
          <w:bCs/>
          <w:sz w:val="22"/>
          <w:szCs w:val="22"/>
          <w:lang w:eastAsia="ja-JP"/>
        </w:rPr>
        <w:t xml:space="preserve"> </w:t>
      </w:r>
    </w:p>
    <w:p w14:paraId="4A2BDB7B" w14:textId="191B42A7" w:rsidR="00830854" w:rsidRDefault="0020582A" w:rsidP="00412061">
      <w:pPr>
        <w:spacing w:after="240" w:line="276" w:lineRule="auto"/>
        <w:ind w:left="270" w:hanging="270"/>
        <w:jc w:val="both"/>
      </w:pPr>
      <w:r>
        <w:t>1.</w:t>
      </w:r>
      <w:r>
        <w:tab/>
      </w:r>
      <w:r w:rsidR="003B65AC">
        <w:t xml:space="preserve">The </w:t>
      </w:r>
      <w:r w:rsidR="00CD330B" w:rsidRPr="00BA55AB">
        <w:rPr>
          <w:i/>
          <w:iCs/>
        </w:rPr>
        <w:t xml:space="preserve">ad hoc </w:t>
      </w:r>
      <w:r w:rsidR="00CD330B">
        <w:t>Group should d</w:t>
      </w:r>
      <w:r w:rsidR="00A339E1" w:rsidRPr="002174F5">
        <w:t xml:space="preserve">evelop </w:t>
      </w:r>
      <w:r w:rsidR="003F374A">
        <w:t xml:space="preserve">a </w:t>
      </w:r>
      <w:r w:rsidR="00A339E1" w:rsidRPr="002174F5">
        <w:t xml:space="preserve">new </w:t>
      </w:r>
      <w:r w:rsidR="003F374A">
        <w:t xml:space="preserve">draft </w:t>
      </w:r>
      <w:r w:rsidR="008B5774">
        <w:t>Chapter 4.X.</w:t>
      </w:r>
      <w:r w:rsidR="00A339E1" w:rsidRPr="002174F5">
        <w:t xml:space="preserve"> </w:t>
      </w:r>
      <w:r w:rsidR="00CD330B">
        <w:t>E</w:t>
      </w:r>
      <w:r w:rsidR="00CD330B" w:rsidRPr="002174F5">
        <w:t xml:space="preserve">mergency </w:t>
      </w:r>
      <w:r w:rsidR="008B5774">
        <w:t>d</w:t>
      </w:r>
      <w:r w:rsidR="00CD330B" w:rsidRPr="002174F5">
        <w:t xml:space="preserve">isease </w:t>
      </w:r>
      <w:r w:rsidR="008B5774">
        <w:t>p</w:t>
      </w:r>
      <w:r w:rsidR="00CD330B" w:rsidRPr="002174F5">
        <w:t>reparedness</w:t>
      </w:r>
      <w:r w:rsidR="00622434">
        <w:t>,</w:t>
      </w:r>
      <w:r w:rsidR="00CD330B" w:rsidRPr="002174F5">
        <w:t xml:space="preserve"> </w:t>
      </w:r>
      <w:r w:rsidR="00A339E1" w:rsidRPr="002174F5">
        <w:t xml:space="preserve">and </w:t>
      </w:r>
      <w:r w:rsidR="003F374A">
        <w:t xml:space="preserve">a new draft </w:t>
      </w:r>
      <w:r w:rsidR="008B5774">
        <w:t xml:space="preserve">Chapter 4.Y. </w:t>
      </w:r>
      <w:r w:rsidR="00C24A2E">
        <w:t>D</w:t>
      </w:r>
      <w:r w:rsidR="00A339E1" w:rsidRPr="002174F5">
        <w:t xml:space="preserve">isease </w:t>
      </w:r>
      <w:r w:rsidR="008B5774">
        <w:t>o</w:t>
      </w:r>
      <w:r w:rsidR="00CD330B" w:rsidRPr="002174F5">
        <w:t xml:space="preserve">utbreak </w:t>
      </w:r>
      <w:r w:rsidR="008B5774">
        <w:t>m</w:t>
      </w:r>
      <w:r w:rsidR="00CD330B" w:rsidRPr="002174F5">
        <w:t>anagement</w:t>
      </w:r>
      <w:r w:rsidR="003F374A">
        <w:t>.</w:t>
      </w:r>
      <w:r w:rsidR="00A339E1">
        <w:t xml:space="preserve"> </w:t>
      </w:r>
      <w:r w:rsidR="009E4245">
        <w:t>T</w:t>
      </w:r>
      <w:r w:rsidR="00004C2A">
        <w:t xml:space="preserve">he </w:t>
      </w:r>
      <w:r w:rsidR="003F374A">
        <w:t xml:space="preserve">Commission requested that the </w:t>
      </w:r>
      <w:r w:rsidR="00004C2A" w:rsidRPr="009A1067">
        <w:rPr>
          <w:i/>
          <w:iCs/>
        </w:rPr>
        <w:t>ad hoc</w:t>
      </w:r>
      <w:r w:rsidR="00004C2A">
        <w:t xml:space="preserve"> Group </w:t>
      </w:r>
      <w:r w:rsidR="003F374A">
        <w:t>commence work on Chapter 4.X. first, but also take into consideration the proposed structure for Chapter 4.Y.</w:t>
      </w:r>
      <w:r w:rsidR="00004C2A">
        <w:t xml:space="preserve"> </w:t>
      </w:r>
    </w:p>
    <w:p w14:paraId="7CC87DAE" w14:textId="48DDB09E" w:rsidR="00623697" w:rsidRDefault="00BA55AB" w:rsidP="008B18C3">
      <w:pPr>
        <w:tabs>
          <w:tab w:val="left" w:pos="360"/>
        </w:tabs>
        <w:spacing w:after="240" w:line="276" w:lineRule="auto"/>
        <w:ind w:left="270" w:hanging="270"/>
        <w:jc w:val="both"/>
      </w:pPr>
      <w:r>
        <w:t>2.</w:t>
      </w:r>
      <w:r>
        <w:tab/>
      </w:r>
      <w:r w:rsidR="00FF090C">
        <w:t xml:space="preserve">The two new chapters </w:t>
      </w:r>
      <w:r w:rsidR="003F374A">
        <w:t xml:space="preserve">should </w:t>
      </w:r>
      <w:r w:rsidR="00FF090C">
        <w:t xml:space="preserve">describe the key components </w:t>
      </w:r>
      <w:r w:rsidR="003F374A">
        <w:t xml:space="preserve">required when </w:t>
      </w:r>
      <w:r w:rsidR="00FF090C">
        <w:t xml:space="preserve">planning for </w:t>
      </w:r>
      <w:r w:rsidR="003F374A">
        <w:t xml:space="preserve">a </w:t>
      </w:r>
      <w:r w:rsidR="00FF090C">
        <w:t xml:space="preserve">disease response </w:t>
      </w:r>
      <w:r w:rsidR="00FF38DC">
        <w:t xml:space="preserve">and </w:t>
      </w:r>
      <w:r w:rsidR="00D765BC">
        <w:t xml:space="preserve">outbreak management </w:t>
      </w:r>
      <w:r w:rsidR="00FF090C">
        <w:t xml:space="preserve">in </w:t>
      </w:r>
      <w:r w:rsidR="00D765BC">
        <w:t xml:space="preserve">the </w:t>
      </w:r>
      <w:r w:rsidR="00FF090C">
        <w:t xml:space="preserve">different types of aquaculture systems described in </w:t>
      </w:r>
      <w:hyperlink r:id="rId12" w:history="1">
        <w:r w:rsidR="004803E3" w:rsidRPr="00106C6F">
          <w:rPr>
            <w:rStyle w:val="Hyperlink"/>
          </w:rPr>
          <w:t>Chapter</w:t>
        </w:r>
        <w:r w:rsidR="008E3D30" w:rsidRPr="00106C6F">
          <w:rPr>
            <w:rStyle w:val="Hyperlink"/>
          </w:rPr>
          <w:t xml:space="preserve"> 4.1. Biosecurity for </w:t>
        </w:r>
        <w:proofErr w:type="spellStart"/>
        <w:r w:rsidR="008E3D30" w:rsidRPr="00106C6F">
          <w:rPr>
            <w:rStyle w:val="Hyperlink"/>
          </w:rPr>
          <w:t>aquculture</w:t>
        </w:r>
        <w:proofErr w:type="spellEnd"/>
        <w:r w:rsidR="008E3D30" w:rsidRPr="00106C6F">
          <w:rPr>
            <w:rStyle w:val="Hyperlink"/>
          </w:rPr>
          <w:t xml:space="preserve"> establishments</w:t>
        </w:r>
      </w:hyperlink>
      <w:r w:rsidR="008E3D30">
        <w:t xml:space="preserve">: </w:t>
      </w:r>
      <w:r w:rsidR="00106C6F">
        <w:t>open, semi-open</w:t>
      </w:r>
      <w:r w:rsidR="00FF38DC">
        <w:t xml:space="preserve">, semi-closed and closed systems. </w:t>
      </w:r>
    </w:p>
    <w:p w14:paraId="51A58621" w14:textId="024B7637" w:rsidR="00A339E1" w:rsidRPr="002174F5" w:rsidRDefault="003F374A" w:rsidP="00063623">
      <w:pPr>
        <w:pStyle w:val="ListParagraph"/>
        <w:tabs>
          <w:tab w:val="left" w:pos="270"/>
          <w:tab w:val="left" w:pos="360"/>
        </w:tabs>
        <w:spacing w:after="240" w:line="274" w:lineRule="auto"/>
        <w:ind w:left="360" w:hanging="360"/>
      </w:pPr>
      <w:r>
        <w:t xml:space="preserve">3. </w:t>
      </w:r>
      <w:r w:rsidR="00063623">
        <w:t xml:space="preserve"> </w:t>
      </w:r>
      <w:r w:rsidR="008C1BB7">
        <w:t>C</w:t>
      </w:r>
      <w:r w:rsidR="00A339E1">
        <w:t>hapter</w:t>
      </w:r>
      <w:r w:rsidR="00E57756">
        <w:t xml:space="preserve"> </w:t>
      </w:r>
      <w:r w:rsidR="008C1BB7">
        <w:t>4.X. E</w:t>
      </w:r>
      <w:r w:rsidR="00E57756">
        <w:t>merg</w:t>
      </w:r>
      <w:r w:rsidR="00F574F4">
        <w:t>ency</w:t>
      </w:r>
      <w:r w:rsidR="00E57756">
        <w:t xml:space="preserve"> disease preparedness</w:t>
      </w:r>
      <w:r w:rsidR="006015FB">
        <w:t>,</w:t>
      </w:r>
      <w:r>
        <w:t xml:space="preserve"> should</w:t>
      </w:r>
      <w:r w:rsidR="00A339E1" w:rsidRPr="002174F5">
        <w:t>:</w:t>
      </w:r>
    </w:p>
    <w:p w14:paraId="56176F43" w14:textId="44747469" w:rsidR="00A339E1" w:rsidRPr="002174F5" w:rsidRDefault="00BA55AB" w:rsidP="00A339E1">
      <w:pPr>
        <w:spacing w:after="240" w:line="276" w:lineRule="auto"/>
        <w:ind w:left="851" w:hanging="425"/>
      </w:pPr>
      <w:r>
        <w:t>a</w:t>
      </w:r>
      <w:r w:rsidR="008C1BB7">
        <w:t>.</w:t>
      </w:r>
      <w:r w:rsidR="00A339E1" w:rsidRPr="002174F5">
        <w:t xml:space="preserve"> </w:t>
      </w:r>
      <w:r w:rsidR="00A339E1">
        <w:tab/>
      </w:r>
      <w:r w:rsidR="006015FB">
        <w:t xml:space="preserve">provide </w:t>
      </w:r>
      <w:r w:rsidR="00A339E1" w:rsidRPr="002174F5">
        <w:t>general princip</w:t>
      </w:r>
      <w:r w:rsidR="006015FB">
        <w:t>les</w:t>
      </w:r>
      <w:r w:rsidR="00A339E1" w:rsidRPr="002174F5">
        <w:t xml:space="preserve"> for emergency disease preparedness</w:t>
      </w:r>
      <w:r w:rsidR="00490395">
        <w:t>;</w:t>
      </w:r>
    </w:p>
    <w:p w14:paraId="396C71C0" w14:textId="2BCF10ED" w:rsidR="00A339E1" w:rsidRPr="002174F5" w:rsidRDefault="00BA55AB" w:rsidP="00CD2EB5">
      <w:pPr>
        <w:tabs>
          <w:tab w:val="left" w:pos="630"/>
          <w:tab w:val="left" w:pos="720"/>
        </w:tabs>
        <w:spacing w:after="240" w:line="276" w:lineRule="auto"/>
        <w:ind w:left="851" w:hanging="376"/>
        <w:jc w:val="both"/>
      </w:pPr>
      <w:r>
        <w:t>b</w:t>
      </w:r>
      <w:r w:rsidR="00A339E1" w:rsidRPr="002174F5">
        <w:t xml:space="preserve">. </w:t>
      </w:r>
      <w:r w:rsidR="00A339E1">
        <w:tab/>
      </w:r>
      <w:r w:rsidR="00921C27">
        <w:tab/>
      </w:r>
      <w:r w:rsidR="00A339E1" w:rsidRPr="002174F5">
        <w:t>address</w:t>
      </w:r>
      <w:r w:rsidR="00C63EF9">
        <w:t xml:space="preserve"> </w:t>
      </w:r>
      <w:r w:rsidR="00A339E1" w:rsidRPr="002174F5">
        <w:t xml:space="preserve">the difficulties associated with planning for </w:t>
      </w:r>
      <w:r w:rsidR="00984099">
        <w:t>outbreaks</w:t>
      </w:r>
      <w:r w:rsidR="00984099" w:rsidRPr="002174F5">
        <w:t xml:space="preserve"> </w:t>
      </w:r>
      <w:r w:rsidR="00A339E1" w:rsidRPr="002174F5">
        <w:t>of</w:t>
      </w:r>
      <w:r w:rsidR="006C5E48">
        <w:t xml:space="preserve"> </w:t>
      </w:r>
      <w:r w:rsidR="007C5F65">
        <w:t>a</w:t>
      </w:r>
      <w:r w:rsidR="00DB7D40">
        <w:t>quatic animal diseases</w:t>
      </w:r>
      <w:r w:rsidR="00490395">
        <w:t>; and</w:t>
      </w:r>
    </w:p>
    <w:p w14:paraId="4FFE8AF8" w14:textId="03F046FD" w:rsidR="00E57756" w:rsidRDefault="00BA55AB" w:rsidP="00CD2EB5">
      <w:pPr>
        <w:spacing w:after="240" w:line="276" w:lineRule="auto"/>
        <w:ind w:left="851" w:hanging="425"/>
        <w:jc w:val="both"/>
      </w:pPr>
      <w:r>
        <w:t>c</w:t>
      </w:r>
      <w:r w:rsidR="00A339E1" w:rsidRPr="002174F5">
        <w:t xml:space="preserve">. </w:t>
      </w:r>
      <w:r w:rsidR="00A339E1">
        <w:tab/>
      </w:r>
      <w:r w:rsidR="00A339E1" w:rsidRPr="002174F5">
        <w:t>describe how risk analysis is integrated in planning and can be used to support the development of contingency plans</w:t>
      </w:r>
      <w:r w:rsidR="00490395">
        <w:t>.</w:t>
      </w:r>
      <w:r w:rsidR="00DD521F">
        <w:t xml:space="preserve"> </w:t>
      </w:r>
    </w:p>
    <w:p w14:paraId="3532F54A" w14:textId="2402CC29" w:rsidR="00830854" w:rsidRDefault="006015FB" w:rsidP="007B5E78">
      <w:pPr>
        <w:spacing w:after="240" w:line="276" w:lineRule="auto"/>
        <w:jc w:val="both"/>
      </w:pPr>
      <w:r>
        <w:t xml:space="preserve">4. </w:t>
      </w:r>
      <w:r w:rsidR="00063623">
        <w:t xml:space="preserve"> </w:t>
      </w:r>
      <w:r w:rsidR="00921C27">
        <w:t>C</w:t>
      </w:r>
      <w:r w:rsidR="00830854">
        <w:t xml:space="preserve">hapter </w:t>
      </w:r>
      <w:r w:rsidR="00921C27">
        <w:t>4.Y.</w:t>
      </w:r>
      <w:r w:rsidR="00830854">
        <w:t xml:space="preserve"> </w:t>
      </w:r>
      <w:r w:rsidR="00BB1B2F">
        <w:t>D</w:t>
      </w:r>
      <w:r w:rsidR="00830854">
        <w:t>iseases outbreak management</w:t>
      </w:r>
      <w:r w:rsidR="00BB1B2F">
        <w:t>,</w:t>
      </w:r>
      <w:r w:rsidR="00830854">
        <w:t xml:space="preserve"> </w:t>
      </w:r>
      <w:r>
        <w:t>should</w:t>
      </w:r>
      <w:r w:rsidR="00830854">
        <w:t>:</w:t>
      </w:r>
    </w:p>
    <w:p w14:paraId="11D8EDB0" w14:textId="14568C92" w:rsidR="00830854" w:rsidRDefault="00BA55AB" w:rsidP="00A44EED">
      <w:pPr>
        <w:tabs>
          <w:tab w:val="left" w:pos="810"/>
          <w:tab w:val="left" w:pos="900"/>
        </w:tabs>
        <w:spacing w:after="240" w:line="276" w:lineRule="auto"/>
        <w:ind w:left="426"/>
        <w:jc w:val="both"/>
      </w:pPr>
      <w:r>
        <w:t>a</w:t>
      </w:r>
      <w:r w:rsidR="00BB1B2F">
        <w:t>.</w:t>
      </w:r>
      <w:r w:rsidR="00BB1B2F">
        <w:tab/>
      </w:r>
      <w:r w:rsidR="00BB1B2F">
        <w:tab/>
      </w:r>
      <w:r w:rsidR="00830854" w:rsidRPr="002174F5">
        <w:t>provide general principals for</w:t>
      </w:r>
      <w:r w:rsidR="00830854">
        <w:t xml:space="preserve"> man</w:t>
      </w:r>
      <w:r w:rsidR="00C24A2E">
        <w:t>a</w:t>
      </w:r>
      <w:r w:rsidR="00830854">
        <w:t>ging disease outbreaks</w:t>
      </w:r>
      <w:r w:rsidR="00622434">
        <w:t>;</w:t>
      </w:r>
    </w:p>
    <w:p w14:paraId="540CD23C" w14:textId="0944E81E" w:rsidR="00F574F4" w:rsidRDefault="00BB1B2F" w:rsidP="009437AE">
      <w:pPr>
        <w:tabs>
          <w:tab w:val="left" w:pos="450"/>
          <w:tab w:val="left" w:pos="540"/>
          <w:tab w:val="left" w:pos="900"/>
        </w:tabs>
      </w:pPr>
      <w:r>
        <w:tab/>
      </w:r>
      <w:r w:rsidR="00BA55AB">
        <w:t>b</w:t>
      </w:r>
      <w:r>
        <w:t>.</w:t>
      </w:r>
      <w:r>
        <w:tab/>
      </w:r>
      <w:r w:rsidR="00F574F4" w:rsidRPr="002174F5">
        <w:t>provide a focus on risk communication</w:t>
      </w:r>
      <w:r w:rsidR="00F574F4">
        <w:t>;</w:t>
      </w:r>
      <w:r w:rsidR="00622434">
        <w:t xml:space="preserve"> and</w:t>
      </w:r>
    </w:p>
    <w:p w14:paraId="7358B846" w14:textId="77777777" w:rsidR="00E412D4" w:rsidRDefault="00E412D4" w:rsidP="009437AE"/>
    <w:p w14:paraId="0A9339F3" w14:textId="41C922D9" w:rsidR="00D37F55" w:rsidRDefault="00BA55AB" w:rsidP="009437AE">
      <w:pPr>
        <w:ind w:left="900" w:hanging="472"/>
      </w:pPr>
      <w:r>
        <w:t>c</w:t>
      </w:r>
      <w:r w:rsidR="00CC08AE">
        <w:t>.</w:t>
      </w:r>
      <w:r w:rsidR="00CC08AE">
        <w:tab/>
      </w:r>
      <w:r w:rsidR="00E412D4" w:rsidRPr="00E412D4">
        <w:t xml:space="preserve">address the difficulties associated with responding to </w:t>
      </w:r>
      <w:r w:rsidR="00984099">
        <w:t xml:space="preserve">outbreaks </w:t>
      </w:r>
      <w:r w:rsidR="00E412D4" w:rsidRPr="00E412D4">
        <w:t>of</w:t>
      </w:r>
      <w:r w:rsidR="0081669E">
        <w:t xml:space="preserve"> aquatic animal diseases</w:t>
      </w:r>
      <w:r w:rsidR="004A60DF">
        <w:t>.</w:t>
      </w:r>
    </w:p>
    <w:p w14:paraId="020F46F5" w14:textId="77777777" w:rsidR="00984099" w:rsidRDefault="00984099" w:rsidP="009437AE">
      <w:pPr>
        <w:ind w:left="900" w:hanging="472"/>
      </w:pPr>
    </w:p>
    <w:p w14:paraId="4CF64C57" w14:textId="0E43FD06" w:rsidR="006015FB" w:rsidRPr="0093114D" w:rsidRDefault="006015FB" w:rsidP="00063623">
      <w:pPr>
        <w:tabs>
          <w:tab w:val="left" w:pos="270"/>
        </w:tabs>
        <w:ind w:left="270" w:hanging="270"/>
        <w:rPr>
          <w:iCs/>
        </w:rPr>
      </w:pPr>
      <w:r w:rsidRPr="00386224">
        <w:t xml:space="preserve">5. </w:t>
      </w:r>
      <w:r w:rsidR="00063623">
        <w:t xml:space="preserve"> </w:t>
      </w:r>
      <w:r w:rsidR="00D37F55">
        <w:rPr>
          <w:iCs/>
        </w:rPr>
        <w:t>T</w:t>
      </w:r>
      <w:r w:rsidRPr="00D37F55">
        <w:rPr>
          <w:iCs/>
        </w:rPr>
        <w:t xml:space="preserve">he draft chapters </w:t>
      </w:r>
      <w:r w:rsidR="001358C6">
        <w:rPr>
          <w:iCs/>
        </w:rPr>
        <w:t>should</w:t>
      </w:r>
      <w:r w:rsidR="00F86E33">
        <w:rPr>
          <w:iCs/>
        </w:rPr>
        <w:t xml:space="preserve"> be</w:t>
      </w:r>
      <w:r w:rsidR="001358C6">
        <w:rPr>
          <w:iCs/>
        </w:rPr>
        <w:t xml:space="preserve"> relevant for all OIE </w:t>
      </w:r>
      <w:r w:rsidRPr="0093114D">
        <w:rPr>
          <w:iCs/>
        </w:rPr>
        <w:t>Member</w:t>
      </w:r>
      <w:r w:rsidR="001358C6">
        <w:rPr>
          <w:iCs/>
        </w:rPr>
        <w:t>s</w:t>
      </w:r>
      <w:r w:rsidRPr="0093114D">
        <w:rPr>
          <w:iCs/>
        </w:rPr>
        <w:t xml:space="preserve"> </w:t>
      </w:r>
      <w:r w:rsidRPr="00386224">
        <w:rPr>
          <w:iCs/>
        </w:rPr>
        <w:t xml:space="preserve">regardless </w:t>
      </w:r>
      <w:r w:rsidR="001358C6">
        <w:rPr>
          <w:iCs/>
        </w:rPr>
        <w:t xml:space="preserve">of </w:t>
      </w:r>
      <w:r w:rsidRPr="0093114D">
        <w:rPr>
          <w:iCs/>
        </w:rPr>
        <w:t xml:space="preserve">the geographic diversity of aquatic </w:t>
      </w:r>
      <w:r w:rsidR="006249A4">
        <w:rPr>
          <w:iCs/>
        </w:rPr>
        <w:t xml:space="preserve">     </w:t>
      </w:r>
      <w:r w:rsidR="00063623">
        <w:rPr>
          <w:iCs/>
        </w:rPr>
        <w:t xml:space="preserve">   </w:t>
      </w:r>
      <w:r w:rsidRPr="0093114D">
        <w:rPr>
          <w:iCs/>
        </w:rPr>
        <w:t xml:space="preserve">animal disease and species worldwide. </w:t>
      </w:r>
    </w:p>
    <w:p w14:paraId="5C940274" w14:textId="1FDB94CD" w:rsidR="00E57756" w:rsidRDefault="00E57756" w:rsidP="00EA1621">
      <w:pPr>
        <w:spacing w:after="240" w:line="276" w:lineRule="auto"/>
        <w:rPr>
          <w:strike/>
        </w:rPr>
      </w:pPr>
    </w:p>
    <w:p w14:paraId="4B9A4ACC" w14:textId="2349902B" w:rsidR="006015FB" w:rsidRDefault="006015FB" w:rsidP="006015FB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lastRenderedPageBreak/>
        <w:t xml:space="preserve">Considerations </w:t>
      </w:r>
    </w:p>
    <w:p w14:paraId="2F6E19F4" w14:textId="77777777" w:rsidR="00401742" w:rsidRDefault="006015FB" w:rsidP="00BA55AB">
      <w:pPr>
        <w:spacing w:after="240" w:line="276" w:lineRule="auto"/>
        <w:ind w:left="426" w:hanging="426"/>
        <w:jc w:val="both"/>
      </w:pPr>
      <w:r>
        <w:t>When developing these two new ch</w:t>
      </w:r>
      <w:r w:rsidR="00105F8B">
        <w:t>a</w:t>
      </w:r>
      <w:r>
        <w:t>pters, th</w:t>
      </w:r>
      <w:r w:rsidRPr="00105F8B">
        <w:t xml:space="preserve">e </w:t>
      </w:r>
      <w:r w:rsidRPr="00105F8B">
        <w:rPr>
          <w:i/>
          <w:iCs/>
        </w:rPr>
        <w:t>ad hoc</w:t>
      </w:r>
      <w:r w:rsidRPr="00105F8B">
        <w:t xml:space="preserve"> Group should</w:t>
      </w:r>
      <w:r>
        <w:t xml:space="preserve"> consider:</w:t>
      </w:r>
    </w:p>
    <w:p w14:paraId="267AF5B6" w14:textId="0A27AEEB" w:rsidR="00DB33D9" w:rsidRDefault="006015FB" w:rsidP="00BA55AB">
      <w:pPr>
        <w:spacing w:after="240" w:line="276" w:lineRule="auto"/>
        <w:ind w:left="426" w:hanging="426"/>
        <w:jc w:val="both"/>
      </w:pPr>
      <w:r>
        <w:t>1</w:t>
      </w:r>
      <w:r w:rsidR="00A339E1" w:rsidRPr="002174F5">
        <w:t xml:space="preserve">. </w:t>
      </w:r>
      <w:r w:rsidR="00A339E1" w:rsidRPr="002174F5">
        <w:tab/>
        <w:t xml:space="preserve">existing chapters in Section 4 of the </w:t>
      </w:r>
      <w:r w:rsidR="00A339E1" w:rsidRPr="002174F5">
        <w:rPr>
          <w:i/>
        </w:rPr>
        <w:t>Aquatic Code</w:t>
      </w:r>
      <w:r w:rsidR="00A339E1" w:rsidRPr="002174F5">
        <w:t xml:space="preserve"> to ensure co</w:t>
      </w:r>
      <w:r>
        <w:t>m</w:t>
      </w:r>
      <w:r w:rsidR="00A339E1" w:rsidRPr="002174F5">
        <w:t>plementarity with th</w:t>
      </w:r>
      <w:r w:rsidR="00A339E1">
        <w:t>e</w:t>
      </w:r>
      <w:r w:rsidR="00A339E1" w:rsidRPr="002174F5">
        <w:t xml:space="preserve"> new chapter</w:t>
      </w:r>
      <w:r w:rsidR="00A339E1">
        <w:t>s</w:t>
      </w:r>
      <w:r w:rsidR="00A339E1" w:rsidRPr="002174F5">
        <w:t xml:space="preserve">. </w:t>
      </w:r>
    </w:p>
    <w:p w14:paraId="17D0582C" w14:textId="6AC67291" w:rsidR="00A339E1" w:rsidRDefault="00A339E1" w:rsidP="00EA1621">
      <w:pPr>
        <w:spacing w:after="240" w:line="276" w:lineRule="auto"/>
        <w:ind w:left="426"/>
        <w:jc w:val="both"/>
      </w:pPr>
      <w:r w:rsidRPr="002174F5">
        <w:t>Note: Chapter 4.6</w:t>
      </w:r>
      <w:r>
        <w:t>.</w:t>
      </w:r>
      <w:r w:rsidRPr="002174F5">
        <w:t xml:space="preserve"> Contingency planning</w:t>
      </w:r>
      <w:r w:rsidR="00E273CB">
        <w:t>,</w:t>
      </w:r>
      <w:r w:rsidRPr="002174F5">
        <w:t xml:space="preserve"> will be deleted once these new chapters are adopted. Therefore</w:t>
      </w:r>
      <w:r w:rsidR="00135236">
        <w:t>,</w:t>
      </w:r>
      <w:r w:rsidRPr="002174F5">
        <w:t xml:space="preserve"> the new chapters should include any relevant text from these chapters. </w:t>
      </w:r>
      <w:r w:rsidR="00B344AA">
        <w:t xml:space="preserve">Cross references to existing chapters should be used to avoid duplication of texts in the </w:t>
      </w:r>
      <w:r w:rsidR="00B344AA" w:rsidRPr="00A66404">
        <w:rPr>
          <w:i/>
          <w:iCs/>
        </w:rPr>
        <w:t>Aq</w:t>
      </w:r>
      <w:r w:rsidR="00E57756" w:rsidRPr="00A66404">
        <w:rPr>
          <w:i/>
          <w:iCs/>
        </w:rPr>
        <w:t>u</w:t>
      </w:r>
      <w:r w:rsidR="00B344AA" w:rsidRPr="00A66404">
        <w:rPr>
          <w:i/>
          <w:iCs/>
        </w:rPr>
        <w:t>atic Code</w:t>
      </w:r>
      <w:r w:rsidR="00B344AA">
        <w:t xml:space="preserve">. </w:t>
      </w:r>
      <w:r w:rsidR="00E412D4">
        <w:t>Chapter 4.7. Fallowing in aquaculture</w:t>
      </w:r>
      <w:r w:rsidR="0091349D">
        <w:t>,</w:t>
      </w:r>
      <w:r w:rsidR="00E412D4">
        <w:t xml:space="preserve"> will be reviewed for deletion upon completion of the chapters. </w:t>
      </w:r>
    </w:p>
    <w:p w14:paraId="677AC604" w14:textId="115CAB60" w:rsidR="00F6178F" w:rsidRDefault="006015FB" w:rsidP="006015FB">
      <w:pPr>
        <w:ind w:left="426" w:hanging="426"/>
      </w:pPr>
      <w:r>
        <w:t>2</w:t>
      </w:r>
      <w:r w:rsidR="00A339E1">
        <w:t>.</w:t>
      </w:r>
      <w:r w:rsidR="00A339E1">
        <w:tab/>
      </w:r>
      <w:r>
        <w:t>the following chapters</w:t>
      </w:r>
      <w:r w:rsidR="00314678">
        <w:t>:</w:t>
      </w:r>
    </w:p>
    <w:p w14:paraId="0DDC6930" w14:textId="5BBC184C" w:rsidR="00F6178F" w:rsidRDefault="00F6178F" w:rsidP="008C2CEE">
      <w:pPr>
        <w:ind w:left="426" w:hanging="426"/>
      </w:pPr>
      <w:r>
        <w:tab/>
      </w:r>
    </w:p>
    <w:p w14:paraId="11A9C902" w14:textId="706BC375" w:rsidR="00490395" w:rsidRPr="005F11C4" w:rsidRDefault="00F6178F" w:rsidP="008C2CEE">
      <w:pPr>
        <w:tabs>
          <w:tab w:val="left" w:pos="1080"/>
        </w:tabs>
        <w:ind w:left="426" w:firstLine="282"/>
        <w:rPr>
          <w:lang w:val="en-CA"/>
        </w:rPr>
      </w:pPr>
      <w:r w:rsidRPr="00401742">
        <w:rPr>
          <w:lang w:val="en-US"/>
        </w:rPr>
        <w:t>-</w:t>
      </w:r>
      <w:r w:rsidRPr="00401742">
        <w:rPr>
          <w:lang w:val="en-US"/>
        </w:rPr>
        <w:tab/>
      </w:r>
      <w:r w:rsidR="00490395" w:rsidRPr="00401742">
        <w:rPr>
          <w:lang w:val="en-US"/>
        </w:rPr>
        <w:t xml:space="preserve">Chapter 1.4. </w:t>
      </w:r>
      <w:r w:rsidR="00490395" w:rsidRPr="00EC6996">
        <w:rPr>
          <w:lang w:val="en-CA"/>
        </w:rPr>
        <w:t>Aquatic Animal Disease Surveillance</w:t>
      </w:r>
      <w:r w:rsidR="002A5CE5" w:rsidRPr="007A71B4">
        <w:rPr>
          <w:lang w:val="en-CA"/>
        </w:rPr>
        <w:t xml:space="preserve"> (</w:t>
      </w:r>
      <w:r w:rsidR="002A5CE5" w:rsidRPr="00254507">
        <w:rPr>
          <w:i/>
          <w:lang w:val="en-CA"/>
        </w:rPr>
        <w:t>Aquatic Code</w:t>
      </w:r>
      <w:r w:rsidR="002A5CE5" w:rsidRPr="005F11C4">
        <w:rPr>
          <w:lang w:val="en-CA"/>
        </w:rPr>
        <w:t>)</w:t>
      </w:r>
    </w:p>
    <w:p w14:paraId="47483F89" w14:textId="6E010A08" w:rsidR="00F574F4" w:rsidRDefault="00F6178F" w:rsidP="008C2CEE">
      <w:pPr>
        <w:tabs>
          <w:tab w:val="left" w:pos="1080"/>
        </w:tabs>
        <w:spacing w:after="240" w:line="276" w:lineRule="auto"/>
        <w:ind w:firstLine="708"/>
        <w:jc w:val="both"/>
      </w:pPr>
      <w:r>
        <w:t>-</w:t>
      </w:r>
      <w:r>
        <w:tab/>
      </w:r>
      <w:r w:rsidR="002A5CE5">
        <w:t xml:space="preserve">Chapter </w:t>
      </w:r>
      <w:r w:rsidR="00490395" w:rsidRPr="00490395">
        <w:t>4.19. Official control programmes for listed and emerging diseases</w:t>
      </w:r>
      <w:r w:rsidR="002A5CE5">
        <w:t xml:space="preserve"> (</w:t>
      </w:r>
      <w:r w:rsidR="002A5CE5" w:rsidRPr="00EC6996">
        <w:rPr>
          <w:i/>
        </w:rPr>
        <w:t>Terrestrial Code</w:t>
      </w:r>
      <w:r w:rsidR="002A5CE5">
        <w:t>)</w:t>
      </w:r>
    </w:p>
    <w:p w14:paraId="3B94D9C2" w14:textId="00B8840D" w:rsidR="00B344AA" w:rsidRDefault="006C114F" w:rsidP="00401742">
      <w:pPr>
        <w:widowControl w:val="0"/>
        <w:overflowPunct/>
        <w:autoSpaceDE/>
        <w:adjustRightInd/>
        <w:spacing w:after="240" w:line="276" w:lineRule="auto"/>
        <w:jc w:val="both"/>
        <w:textAlignment w:val="auto"/>
      </w:pPr>
      <w:r>
        <w:t xml:space="preserve">3. </w:t>
      </w:r>
      <w:r w:rsidR="00613C18">
        <w:tab/>
      </w:r>
      <w:r w:rsidR="00B344AA">
        <w:t xml:space="preserve">the structure and content of the </w:t>
      </w:r>
      <w:r w:rsidR="00B344AA" w:rsidRPr="00880616">
        <w:rPr>
          <w:i/>
          <w:iCs/>
        </w:rPr>
        <w:t>Aquatic Code</w:t>
      </w:r>
      <w:r w:rsidR="003F0940" w:rsidRPr="00880616">
        <w:rPr>
          <w:i/>
          <w:iCs/>
        </w:rPr>
        <w:t xml:space="preserve">, </w:t>
      </w:r>
      <w:r w:rsidR="003F0940" w:rsidRPr="00153B50">
        <w:t xml:space="preserve">and the use of </w:t>
      </w:r>
      <w:r w:rsidR="003F0940">
        <w:t>G</w:t>
      </w:r>
      <w:r w:rsidR="003F0940" w:rsidRPr="00153B50">
        <w:t>lossary definitions</w:t>
      </w:r>
      <w:r w:rsidR="003F0940">
        <w:t xml:space="preserve">; </w:t>
      </w:r>
    </w:p>
    <w:p w14:paraId="3DC350C8" w14:textId="0B2551C1" w:rsidR="001358C6" w:rsidRPr="00334B07" w:rsidRDefault="00D97DB6" w:rsidP="0007218E">
      <w:pPr>
        <w:widowControl w:val="0"/>
        <w:overflowPunct/>
        <w:autoSpaceDE/>
        <w:adjustRightInd/>
        <w:spacing w:before="120"/>
        <w:ind w:left="708" w:hanging="708"/>
        <w:jc w:val="both"/>
        <w:textAlignment w:val="auto"/>
      </w:pPr>
      <w:r w:rsidRPr="00880616">
        <w:rPr>
          <w:bCs/>
          <w:lang w:eastAsia="ja-JP"/>
        </w:rPr>
        <w:t>4.</w:t>
      </w:r>
      <w:r w:rsidR="00613C18">
        <w:rPr>
          <w:bCs/>
          <w:lang w:eastAsia="ja-JP"/>
        </w:rPr>
        <w:tab/>
      </w:r>
      <w:r w:rsidR="002A5CE5" w:rsidRPr="00880616">
        <w:rPr>
          <w:bCs/>
          <w:lang w:eastAsia="ja-JP"/>
        </w:rPr>
        <w:t>any additional</w:t>
      </w:r>
      <w:r w:rsidR="003F0940" w:rsidRPr="00880616">
        <w:rPr>
          <w:bCs/>
          <w:lang w:eastAsia="ja-JP"/>
        </w:rPr>
        <w:t xml:space="preserve"> </w:t>
      </w:r>
      <w:r w:rsidR="002A5CE5" w:rsidRPr="00880616">
        <w:rPr>
          <w:bCs/>
          <w:lang w:eastAsia="ja-JP"/>
        </w:rPr>
        <w:t>or</w:t>
      </w:r>
      <w:r w:rsidR="003F0940" w:rsidRPr="00880616">
        <w:rPr>
          <w:bCs/>
          <w:lang w:eastAsia="ja-JP"/>
        </w:rPr>
        <w:t xml:space="preserve"> relevant material provided by the </w:t>
      </w:r>
      <w:r w:rsidR="002A5CE5" w:rsidRPr="00880616">
        <w:rPr>
          <w:bCs/>
          <w:lang w:eastAsia="ja-JP"/>
        </w:rPr>
        <w:t>Aquatic Animals Commission</w:t>
      </w:r>
      <w:r w:rsidR="0087238A" w:rsidRPr="00880616">
        <w:rPr>
          <w:bCs/>
          <w:lang w:eastAsia="ja-JP"/>
        </w:rPr>
        <w:t>’s</w:t>
      </w:r>
      <w:r w:rsidR="002A5CE5" w:rsidRPr="00880616">
        <w:rPr>
          <w:bCs/>
          <w:lang w:eastAsia="ja-JP"/>
        </w:rPr>
        <w:t xml:space="preserve"> Secretariat</w:t>
      </w:r>
      <w:r w:rsidR="003F0940" w:rsidRPr="00880616">
        <w:rPr>
          <w:bCs/>
          <w:lang w:eastAsia="ja-JP"/>
        </w:rPr>
        <w:t xml:space="preserve"> in preparation of the meeting</w:t>
      </w:r>
      <w:r w:rsidR="001358C6" w:rsidRPr="00613C18">
        <w:rPr>
          <w:bCs/>
          <w:lang w:eastAsia="ja-JP"/>
        </w:rPr>
        <w:t>.</w:t>
      </w:r>
    </w:p>
    <w:p w14:paraId="178E0949" w14:textId="77777777" w:rsidR="002A5CE5" w:rsidRDefault="002A5CE5" w:rsidP="00401742">
      <w:pPr>
        <w:pStyle w:val="ListParagraph"/>
        <w:rPr>
          <w:b/>
          <w:bCs/>
          <w:iCs/>
          <w:sz w:val="22"/>
          <w:szCs w:val="22"/>
        </w:rPr>
      </w:pPr>
    </w:p>
    <w:p w14:paraId="3FCC6C15" w14:textId="7B7C9548" w:rsidR="00334B07" w:rsidRPr="00334B07" w:rsidRDefault="00334B07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iCs/>
        </w:rPr>
      </w:pPr>
      <w:r w:rsidRPr="00334B07">
        <w:rPr>
          <w:b/>
          <w:bCs/>
          <w:iCs/>
          <w:sz w:val="22"/>
          <w:szCs w:val="22"/>
        </w:rPr>
        <w:t>Expectations</w:t>
      </w:r>
      <w:r w:rsidR="00FE3B7F">
        <w:rPr>
          <w:b/>
          <w:bCs/>
          <w:iCs/>
          <w:sz w:val="22"/>
          <w:szCs w:val="22"/>
        </w:rPr>
        <w:t xml:space="preserve"> </w:t>
      </w:r>
    </w:p>
    <w:p w14:paraId="205B3B65" w14:textId="09BF2665" w:rsidR="001B590B" w:rsidRDefault="001B590B" w:rsidP="004C6DCF">
      <w:pPr>
        <w:widowControl w:val="0"/>
        <w:overflowPunct/>
        <w:autoSpaceDE/>
        <w:adjustRightInd/>
        <w:spacing w:after="240"/>
        <w:jc w:val="both"/>
        <w:textAlignment w:val="auto"/>
      </w:pPr>
      <w:r>
        <w:rPr>
          <w:i/>
        </w:rPr>
        <w:t>A</w:t>
      </w:r>
      <w:r w:rsidRPr="00913D41">
        <w:rPr>
          <w:i/>
        </w:rPr>
        <w:t>d hoc</w:t>
      </w:r>
      <w:r w:rsidRPr="00153B50">
        <w:t xml:space="preserve"> Group memb</w:t>
      </w:r>
      <w:r>
        <w:t>e</w:t>
      </w:r>
      <w:r w:rsidRPr="00153B50">
        <w:t>rs should</w:t>
      </w:r>
      <w:r w:rsidR="00B43BAA">
        <w:t>:</w:t>
      </w:r>
    </w:p>
    <w:p w14:paraId="67025C65" w14:textId="1FDBFE43" w:rsidR="001B590B" w:rsidRDefault="002A5CE5" w:rsidP="00401742">
      <w:pPr>
        <w:pStyle w:val="ListParagraph"/>
        <w:widowControl w:val="0"/>
        <w:numPr>
          <w:ilvl w:val="0"/>
          <w:numId w:val="31"/>
        </w:numPr>
        <w:overflowPunct/>
        <w:autoSpaceDE/>
        <w:adjustRightInd/>
        <w:spacing w:before="120"/>
        <w:jc w:val="both"/>
        <w:textAlignment w:val="auto"/>
      </w:pPr>
      <w:r>
        <w:t>s</w:t>
      </w:r>
      <w:r w:rsidR="001B590B">
        <w:t xml:space="preserve">ign off the OIE Undertaking on Confidentiality of </w:t>
      </w:r>
      <w:r>
        <w:t>informatio</w:t>
      </w:r>
      <w:r w:rsidR="001B590B">
        <w:t>n</w:t>
      </w:r>
      <w:r w:rsidR="001358C6">
        <w:t xml:space="preserve"> before the meeting</w:t>
      </w:r>
      <w:r>
        <w:t>;</w:t>
      </w:r>
      <w:r w:rsidR="00E16795">
        <w:t xml:space="preserve"> </w:t>
      </w:r>
    </w:p>
    <w:p w14:paraId="609F6C33" w14:textId="62CE8328" w:rsidR="00334B07" w:rsidRDefault="002A5CE5" w:rsidP="00401742">
      <w:pPr>
        <w:pStyle w:val="ListParagraph"/>
        <w:widowControl w:val="0"/>
        <w:numPr>
          <w:ilvl w:val="0"/>
          <w:numId w:val="31"/>
        </w:numPr>
        <w:overflowPunct/>
        <w:autoSpaceDE/>
        <w:adjustRightInd/>
        <w:spacing w:before="120"/>
        <w:jc w:val="both"/>
        <w:textAlignment w:val="auto"/>
      </w:pPr>
      <w:r>
        <w:t>c</w:t>
      </w:r>
      <w:r w:rsidR="001B590B">
        <w:t xml:space="preserve">omplete the </w:t>
      </w:r>
      <w:r w:rsidR="001358C6">
        <w:t>OIE D</w:t>
      </w:r>
      <w:r w:rsidR="001B590B">
        <w:t>eclaration of Interest Form</w:t>
      </w:r>
      <w:r w:rsidR="001358C6">
        <w:t xml:space="preserve"> before the meeting</w:t>
      </w:r>
      <w:r>
        <w:t>;</w:t>
      </w:r>
    </w:p>
    <w:p w14:paraId="5F06D4BD" w14:textId="56968D48" w:rsidR="001B590B" w:rsidRDefault="002A5CE5" w:rsidP="00401742">
      <w:pPr>
        <w:pStyle w:val="ListParagraph"/>
        <w:widowControl w:val="0"/>
        <w:numPr>
          <w:ilvl w:val="0"/>
          <w:numId w:val="31"/>
        </w:numPr>
        <w:overflowPunct/>
        <w:autoSpaceDE/>
        <w:adjustRightInd/>
        <w:spacing w:before="120"/>
        <w:jc w:val="both"/>
        <w:textAlignment w:val="auto"/>
      </w:pPr>
      <w:r>
        <w:rPr>
          <w:lang w:eastAsia="ja-JP"/>
        </w:rPr>
        <w:t>r</w:t>
      </w:r>
      <w:r w:rsidR="00334B07">
        <w:rPr>
          <w:lang w:eastAsia="ja-JP"/>
        </w:rPr>
        <w:t xml:space="preserve">ead all </w:t>
      </w:r>
      <w:r w:rsidR="001358C6">
        <w:rPr>
          <w:lang w:eastAsia="ja-JP"/>
        </w:rPr>
        <w:t>working documents</w:t>
      </w:r>
      <w:r w:rsidR="00334B07">
        <w:rPr>
          <w:lang w:eastAsia="ja-JP"/>
        </w:rPr>
        <w:t xml:space="preserve"> provided by the OIE prior to the meeting</w:t>
      </w:r>
      <w:r>
        <w:rPr>
          <w:lang w:eastAsia="ja-JP"/>
        </w:rPr>
        <w:t>;</w:t>
      </w:r>
    </w:p>
    <w:p w14:paraId="7F5096CE" w14:textId="62C00C9B" w:rsidR="008B5509" w:rsidRDefault="002A5CE5" w:rsidP="00401742">
      <w:pPr>
        <w:pStyle w:val="ListParagraph"/>
        <w:widowControl w:val="0"/>
        <w:numPr>
          <w:ilvl w:val="0"/>
          <w:numId w:val="31"/>
        </w:numPr>
        <w:overflowPunct/>
        <w:autoSpaceDE/>
        <w:adjustRightInd/>
        <w:spacing w:before="120"/>
        <w:jc w:val="both"/>
        <w:textAlignment w:val="auto"/>
        <w:rPr>
          <w:lang w:eastAsia="ja-JP"/>
        </w:rPr>
      </w:pPr>
      <w:r>
        <w:rPr>
          <w:lang w:eastAsia="ja-JP"/>
        </w:rPr>
        <w:t>c</w:t>
      </w:r>
      <w:r w:rsidR="008B5509">
        <w:rPr>
          <w:lang w:eastAsia="ja-JP"/>
        </w:rPr>
        <w:t>ontribute to discussions</w:t>
      </w:r>
      <w:r>
        <w:rPr>
          <w:lang w:eastAsia="ja-JP"/>
        </w:rPr>
        <w:t>;</w:t>
      </w:r>
    </w:p>
    <w:p w14:paraId="50BD3D3C" w14:textId="77777777" w:rsidR="00F41125" w:rsidRDefault="002A5CE5" w:rsidP="00975890">
      <w:pPr>
        <w:pStyle w:val="ListParagraph"/>
        <w:widowControl w:val="0"/>
        <w:numPr>
          <w:ilvl w:val="0"/>
          <w:numId w:val="15"/>
        </w:numPr>
        <w:overflowPunct/>
        <w:autoSpaceDE/>
        <w:adjustRightInd/>
        <w:spacing w:before="120"/>
        <w:jc w:val="both"/>
        <w:textAlignment w:val="auto"/>
        <w:rPr>
          <w:lang w:eastAsia="ja-JP"/>
        </w:rPr>
      </w:pPr>
      <w:r>
        <w:t>c</w:t>
      </w:r>
      <w:r w:rsidR="008B5509">
        <w:t>ontribute to drafting text</w:t>
      </w:r>
      <w:r>
        <w:t>; an</w:t>
      </w:r>
      <w:r w:rsidR="008B555A">
        <w:t>d</w:t>
      </w:r>
    </w:p>
    <w:p w14:paraId="1678C20A" w14:textId="452AD966" w:rsidR="008B555A" w:rsidRDefault="008B555A" w:rsidP="00F41125">
      <w:pPr>
        <w:pStyle w:val="ListParagraph"/>
        <w:numPr>
          <w:ilvl w:val="0"/>
          <w:numId w:val="15"/>
        </w:numPr>
        <w:rPr>
          <w:lang w:eastAsia="ja-JP"/>
        </w:rPr>
      </w:pPr>
      <w:r w:rsidRPr="00F41125">
        <w:rPr>
          <w:lang w:eastAsia="ja-JP"/>
        </w:rPr>
        <w:t xml:space="preserve">understand that the </w:t>
      </w:r>
      <w:r w:rsidRPr="00F41125">
        <w:rPr>
          <w:i/>
          <w:iCs/>
          <w:lang w:eastAsia="ja-JP"/>
        </w:rPr>
        <w:t>ad hoc</w:t>
      </w:r>
      <w:r w:rsidRPr="00F41125">
        <w:rPr>
          <w:lang w:eastAsia="ja-JP"/>
        </w:rPr>
        <w:t xml:space="preserve"> Group may be reconvened after the February 2022 meeting of the Commission to ensure continuity of the work.</w:t>
      </w:r>
    </w:p>
    <w:p w14:paraId="6248B1AA" w14:textId="364A9A99" w:rsidR="00FC103B" w:rsidRPr="0071771C" w:rsidRDefault="00FC103B" w:rsidP="00C14876">
      <w:pPr>
        <w:widowControl w:val="0"/>
        <w:overflowPunct/>
        <w:autoSpaceDE/>
        <w:adjustRightInd/>
        <w:spacing w:before="240" w:after="240"/>
        <w:jc w:val="both"/>
        <w:textAlignment w:val="auto"/>
        <w:rPr>
          <w:rFonts w:eastAsia="Calibri"/>
          <w:b/>
          <w:sz w:val="22"/>
          <w:szCs w:val="22"/>
          <w:lang w:eastAsia="en-US"/>
        </w:rPr>
      </w:pPr>
      <w:r w:rsidRPr="0071771C">
        <w:rPr>
          <w:rFonts w:eastAsia="Calibri"/>
          <w:b/>
          <w:sz w:val="22"/>
          <w:szCs w:val="22"/>
          <w:lang w:eastAsia="en-US"/>
        </w:rPr>
        <w:t xml:space="preserve">Deliverables </w:t>
      </w:r>
    </w:p>
    <w:p w14:paraId="0ADB331D" w14:textId="19D3A355" w:rsidR="00DD521F" w:rsidRPr="003F0940" w:rsidRDefault="003F0940" w:rsidP="00F41125">
      <w:pPr>
        <w:jc w:val="both"/>
        <w:rPr>
          <w:lang w:eastAsia="ja-JP"/>
        </w:rPr>
      </w:pPr>
      <w:r w:rsidRPr="003F0940">
        <w:rPr>
          <w:lang w:eastAsia="ja-JP"/>
        </w:rPr>
        <w:t xml:space="preserve">The </w:t>
      </w:r>
      <w:r w:rsidRPr="003F0940">
        <w:rPr>
          <w:i/>
          <w:iCs/>
          <w:lang w:eastAsia="ja-JP"/>
        </w:rPr>
        <w:t xml:space="preserve">ad hoc </w:t>
      </w:r>
      <w:r w:rsidRPr="003F0940">
        <w:rPr>
          <w:lang w:eastAsia="ja-JP"/>
        </w:rPr>
        <w:t xml:space="preserve">Group </w:t>
      </w:r>
      <w:r w:rsidR="001358C6">
        <w:rPr>
          <w:lang w:eastAsia="ja-JP"/>
        </w:rPr>
        <w:t xml:space="preserve">should </w:t>
      </w:r>
      <w:r w:rsidR="00BF23F6">
        <w:rPr>
          <w:lang w:eastAsia="ja-JP"/>
        </w:rPr>
        <w:t>develop</w:t>
      </w:r>
      <w:r w:rsidR="007532F8">
        <w:rPr>
          <w:lang w:eastAsia="ja-JP"/>
        </w:rPr>
        <w:t xml:space="preserve"> a </w:t>
      </w:r>
      <w:r w:rsidR="001600FC">
        <w:rPr>
          <w:lang w:eastAsia="ja-JP"/>
        </w:rPr>
        <w:t>workplan</w:t>
      </w:r>
      <w:r w:rsidR="00F26CAE">
        <w:rPr>
          <w:lang w:eastAsia="ja-JP"/>
        </w:rPr>
        <w:t xml:space="preserve"> for the develo</w:t>
      </w:r>
      <w:r w:rsidR="00FA2637">
        <w:rPr>
          <w:lang w:eastAsia="ja-JP"/>
        </w:rPr>
        <w:t>pment of the two new draft chapters</w:t>
      </w:r>
      <w:r w:rsidR="0050780A">
        <w:rPr>
          <w:lang w:eastAsia="ja-JP"/>
        </w:rPr>
        <w:t xml:space="preserve"> and</w:t>
      </w:r>
      <w:r w:rsidR="00DD521F">
        <w:rPr>
          <w:lang w:eastAsia="ja-JP"/>
        </w:rPr>
        <w:t xml:space="preserve"> a</w:t>
      </w:r>
      <w:r w:rsidR="001358C6">
        <w:rPr>
          <w:lang w:eastAsia="ja-JP"/>
        </w:rPr>
        <w:t>n</w:t>
      </w:r>
      <w:r w:rsidR="00DD521F">
        <w:rPr>
          <w:lang w:eastAsia="ja-JP"/>
        </w:rPr>
        <w:t xml:space="preserve"> </w:t>
      </w:r>
      <w:r w:rsidR="001358C6" w:rsidRPr="003F0940">
        <w:rPr>
          <w:i/>
          <w:iCs/>
          <w:lang w:eastAsia="ja-JP"/>
        </w:rPr>
        <w:t xml:space="preserve">ad hoc </w:t>
      </w:r>
      <w:r w:rsidR="001358C6" w:rsidRPr="003F0940">
        <w:rPr>
          <w:lang w:eastAsia="ja-JP"/>
        </w:rPr>
        <w:t xml:space="preserve">Group </w:t>
      </w:r>
      <w:r w:rsidR="00DD521F">
        <w:rPr>
          <w:lang w:eastAsia="ja-JP"/>
        </w:rPr>
        <w:t>report</w:t>
      </w:r>
      <w:r w:rsidR="0050780A">
        <w:rPr>
          <w:lang w:eastAsia="ja-JP"/>
        </w:rPr>
        <w:t xml:space="preserve"> detailing </w:t>
      </w:r>
      <w:r w:rsidR="00BB5DFA">
        <w:rPr>
          <w:lang w:eastAsia="ja-JP"/>
        </w:rPr>
        <w:t>the p</w:t>
      </w:r>
      <w:r w:rsidR="00D00908">
        <w:rPr>
          <w:lang w:eastAsia="ja-JP"/>
        </w:rPr>
        <w:t>r</w:t>
      </w:r>
      <w:r w:rsidR="00BB5DFA">
        <w:rPr>
          <w:lang w:eastAsia="ja-JP"/>
        </w:rPr>
        <w:t xml:space="preserve">ogress on the </w:t>
      </w:r>
      <w:r w:rsidR="002C0826">
        <w:rPr>
          <w:lang w:eastAsia="ja-JP"/>
        </w:rPr>
        <w:t>development of the new</w:t>
      </w:r>
      <w:r w:rsidR="00E153FD">
        <w:rPr>
          <w:lang w:eastAsia="ja-JP"/>
        </w:rPr>
        <w:t xml:space="preserve"> draft</w:t>
      </w:r>
      <w:r w:rsidR="00E153FD" w:rsidRPr="00E153FD">
        <w:t xml:space="preserve"> </w:t>
      </w:r>
      <w:r w:rsidR="00E153FD">
        <w:t>Chapter 4.X.</w:t>
      </w:r>
      <w:r w:rsidR="00E153FD" w:rsidRPr="002174F5">
        <w:t xml:space="preserve"> </w:t>
      </w:r>
      <w:r w:rsidR="00E153FD">
        <w:t>E</w:t>
      </w:r>
      <w:r w:rsidR="00E153FD" w:rsidRPr="002174F5">
        <w:t xml:space="preserve">mergency </w:t>
      </w:r>
      <w:r w:rsidR="00E153FD">
        <w:t>d</w:t>
      </w:r>
      <w:r w:rsidR="00E153FD" w:rsidRPr="002174F5">
        <w:t xml:space="preserve">isease </w:t>
      </w:r>
      <w:r w:rsidR="00E153FD">
        <w:t>p</w:t>
      </w:r>
      <w:r w:rsidR="00E153FD" w:rsidRPr="002174F5">
        <w:t>reparedness</w:t>
      </w:r>
      <w:r w:rsidR="00CC534F">
        <w:rPr>
          <w:lang w:eastAsia="ja-JP"/>
        </w:rPr>
        <w:t>.</w:t>
      </w:r>
    </w:p>
    <w:p w14:paraId="140767FB" w14:textId="77777777" w:rsidR="001358C6" w:rsidRDefault="001358C6" w:rsidP="00F41125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</w:p>
    <w:p w14:paraId="0E3B9295" w14:textId="1F22C5B5" w:rsidR="00794D8D" w:rsidRPr="0071771C" w:rsidRDefault="00794D8D" w:rsidP="004C6DCF">
      <w:pPr>
        <w:widowControl w:val="0"/>
        <w:overflowPunct/>
        <w:autoSpaceDE/>
        <w:adjustRightInd/>
        <w:spacing w:after="240"/>
        <w:jc w:val="both"/>
        <w:textAlignment w:val="auto"/>
        <w:rPr>
          <w:b/>
          <w:bCs/>
          <w:sz w:val="22"/>
          <w:szCs w:val="22"/>
          <w:lang w:eastAsia="ja-JP"/>
        </w:rPr>
      </w:pPr>
      <w:r w:rsidRPr="0071771C">
        <w:rPr>
          <w:b/>
          <w:bCs/>
          <w:sz w:val="22"/>
          <w:szCs w:val="22"/>
          <w:lang w:eastAsia="ja-JP"/>
        </w:rPr>
        <w:t>Report</w:t>
      </w:r>
      <w:r w:rsidR="003C3CFC" w:rsidRPr="0071771C">
        <w:rPr>
          <w:b/>
          <w:bCs/>
          <w:sz w:val="22"/>
          <w:szCs w:val="22"/>
          <w:lang w:eastAsia="ja-JP"/>
        </w:rPr>
        <w:t>ing</w:t>
      </w:r>
      <w:r w:rsidR="00E64903" w:rsidRPr="0071771C">
        <w:rPr>
          <w:b/>
          <w:bCs/>
          <w:sz w:val="22"/>
          <w:szCs w:val="22"/>
          <w:lang w:eastAsia="ja-JP"/>
        </w:rPr>
        <w:t xml:space="preserve"> / timeline</w:t>
      </w:r>
      <w:r w:rsidR="00653E0E">
        <w:rPr>
          <w:b/>
          <w:bCs/>
          <w:sz w:val="22"/>
          <w:szCs w:val="22"/>
          <w:lang w:eastAsia="ja-JP"/>
        </w:rPr>
        <w:t xml:space="preserve"> </w:t>
      </w:r>
    </w:p>
    <w:p w14:paraId="6339CCF8" w14:textId="6CBFB13E" w:rsidR="00DD521F" w:rsidRDefault="00794D8D" w:rsidP="004C6DCF">
      <w:pPr>
        <w:pStyle w:val="Default"/>
        <w:widowControl w:val="0"/>
        <w:autoSpaceDE/>
        <w:adjustRightInd/>
        <w:spacing w:after="24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A692C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153B50" w:rsidRPr="005A692C">
        <w:rPr>
          <w:rFonts w:ascii="Times New Roman" w:hAnsi="Times New Roman" w:cs="Times New Roman"/>
          <w:i/>
          <w:color w:val="auto"/>
          <w:sz w:val="20"/>
          <w:szCs w:val="20"/>
          <w:lang w:val="en-GB"/>
        </w:rPr>
        <w:t>ad hoc</w:t>
      </w:r>
      <w:r w:rsidR="00153B50" w:rsidRPr="005A692C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Group</w:t>
      </w:r>
      <w:r w:rsidR="00153B50" w:rsidRPr="005A692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4F46">
        <w:rPr>
          <w:rFonts w:ascii="Times New Roman" w:hAnsi="Times New Roman" w:cs="Times New Roman"/>
          <w:sz w:val="20"/>
          <w:szCs w:val="20"/>
          <w:lang w:val="en-GB"/>
        </w:rPr>
        <w:t>r</w:t>
      </w:r>
      <w:r w:rsidRPr="005A692C">
        <w:rPr>
          <w:rFonts w:ascii="Times New Roman" w:hAnsi="Times New Roman" w:cs="Times New Roman"/>
          <w:sz w:val="20"/>
          <w:szCs w:val="20"/>
          <w:lang w:val="en-GB"/>
        </w:rPr>
        <w:t>eport</w:t>
      </w:r>
      <w:r w:rsidR="001358C6">
        <w:rPr>
          <w:rFonts w:ascii="Times New Roman" w:hAnsi="Times New Roman" w:cs="Times New Roman"/>
          <w:sz w:val="20"/>
          <w:szCs w:val="20"/>
          <w:lang w:val="en-GB"/>
        </w:rPr>
        <w:t xml:space="preserve"> should be completed at least four </w:t>
      </w:r>
      <w:r w:rsidR="00DD521F">
        <w:rPr>
          <w:rFonts w:ascii="Times New Roman" w:hAnsi="Times New Roman" w:cs="Times New Roman"/>
          <w:sz w:val="20"/>
          <w:szCs w:val="20"/>
          <w:lang w:val="en-GB"/>
        </w:rPr>
        <w:t xml:space="preserve">weeks before the Commission’s February </w:t>
      </w:r>
      <w:r w:rsidR="001358C6">
        <w:rPr>
          <w:rFonts w:ascii="Times New Roman" w:hAnsi="Times New Roman" w:cs="Times New Roman"/>
          <w:sz w:val="20"/>
          <w:szCs w:val="20"/>
          <w:lang w:val="en-GB"/>
        </w:rPr>
        <w:t>2022 meeting</w:t>
      </w:r>
      <w:r w:rsidR="00DD521F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14:paraId="1E73234A" w14:textId="6C54AAD7" w:rsidR="000A7B05" w:rsidRDefault="000A7B05" w:rsidP="004C6DCF">
      <w:pPr>
        <w:pStyle w:val="Default"/>
        <w:widowControl w:val="0"/>
        <w:autoSpaceDE/>
        <w:adjustRightInd/>
        <w:spacing w:after="24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br w:type="page"/>
      </w:r>
    </w:p>
    <w:p w14:paraId="64E63E6F" w14:textId="30B3038E" w:rsidR="00794D8D" w:rsidRPr="00401742" w:rsidRDefault="000A7B05" w:rsidP="004C6DCF">
      <w:pPr>
        <w:pStyle w:val="Default"/>
        <w:widowControl w:val="0"/>
        <w:autoSpaceDE/>
        <w:adjustRightInd/>
        <w:spacing w:after="24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401742">
        <w:rPr>
          <w:rFonts w:ascii="Times New Roman" w:hAnsi="Times New Roman" w:cs="Times New Roman"/>
          <w:sz w:val="20"/>
          <w:szCs w:val="20"/>
          <w:lang w:val="fr-FR"/>
        </w:rPr>
        <w:t>Annex 1</w:t>
      </w:r>
    </w:p>
    <w:p w14:paraId="5E9C3E45" w14:textId="2B0DB52F" w:rsidR="000A7B05" w:rsidRPr="00401742" w:rsidRDefault="000A7B05" w:rsidP="004C6DCF">
      <w:pPr>
        <w:pStyle w:val="Default"/>
        <w:widowControl w:val="0"/>
        <w:autoSpaceDE/>
        <w:adjustRightInd/>
        <w:spacing w:after="240"/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619D41C3" w14:textId="098C7F3B" w:rsidR="000A7B05" w:rsidRPr="004F0BAC" w:rsidRDefault="000A7B05" w:rsidP="004F0BA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MS Mincho"/>
          <w:b/>
          <w:bCs/>
          <w:sz w:val="20"/>
          <w:szCs w:val="20"/>
          <w:lang w:val="fr-FR" w:eastAsia="fr-FR"/>
        </w:rPr>
      </w:pPr>
      <w:proofErr w:type="spellStart"/>
      <w:r w:rsidRPr="004F0BAC">
        <w:rPr>
          <w:rStyle w:val="normaltextrun"/>
          <w:b/>
          <w:bCs/>
          <w:sz w:val="20"/>
          <w:szCs w:val="20"/>
          <w:lang w:val="fr-FR"/>
        </w:rPr>
        <w:t>Proposed</w:t>
      </w:r>
      <w:proofErr w:type="spellEnd"/>
      <w:r w:rsidRPr="004F0BAC">
        <w:rPr>
          <w:rStyle w:val="normaltextrun"/>
          <w:b/>
          <w:bCs/>
          <w:sz w:val="20"/>
          <w:szCs w:val="20"/>
          <w:lang w:val="fr-FR"/>
        </w:rPr>
        <w:t xml:space="preserve"> </w:t>
      </w:r>
      <w:r w:rsidR="001358C6" w:rsidRPr="004F0BAC">
        <w:rPr>
          <w:rStyle w:val="normaltextrun"/>
          <w:b/>
          <w:bCs/>
          <w:sz w:val="20"/>
          <w:szCs w:val="20"/>
          <w:lang w:val="fr-FR"/>
        </w:rPr>
        <w:t>a</w:t>
      </w:r>
      <w:r w:rsidRPr="004F0BAC">
        <w:rPr>
          <w:rStyle w:val="normaltextrun"/>
          <w:b/>
          <w:bCs/>
          <w:sz w:val="20"/>
          <w:szCs w:val="20"/>
          <w:lang w:val="fr-FR"/>
        </w:rPr>
        <w:t xml:space="preserve">rticle structure </w:t>
      </w:r>
    </w:p>
    <w:p w14:paraId="68F0C28F" w14:textId="77777777" w:rsidR="000A7B05" w:rsidRPr="004F0BAC" w:rsidRDefault="000A7B05" w:rsidP="000A7B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fr-FR"/>
        </w:rPr>
      </w:pPr>
    </w:p>
    <w:p w14:paraId="7764D74A" w14:textId="77777777" w:rsidR="000A7B05" w:rsidRPr="004F0BAC" w:rsidRDefault="000A7B05" w:rsidP="000A7B05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F0BAC">
        <w:rPr>
          <w:rStyle w:val="normaltextrun"/>
          <w:b/>
          <w:bCs/>
          <w:sz w:val="20"/>
          <w:szCs w:val="20"/>
          <w:lang w:val="fr-FR"/>
        </w:rPr>
        <w:t>CHAPTER 4.X.</w:t>
      </w:r>
      <w:r w:rsidRPr="004F0BAC">
        <w:rPr>
          <w:rStyle w:val="eop"/>
          <w:rFonts w:eastAsia="MS Mincho"/>
          <w:lang w:val="fr-FR"/>
        </w:rPr>
        <w:t> </w:t>
      </w:r>
    </w:p>
    <w:p w14:paraId="72A42EEF" w14:textId="77777777" w:rsidR="000A7B05" w:rsidRDefault="000A7B05" w:rsidP="000A7B05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  <w:lang w:val="en-GB"/>
        </w:rPr>
        <w:t>EMERGENCY DISEASE PREPAREDNESS</w:t>
      </w:r>
      <w:r>
        <w:rPr>
          <w:rStyle w:val="eop"/>
          <w:rFonts w:eastAsia="MS Mincho"/>
        </w:rPr>
        <w:t> </w:t>
      </w:r>
    </w:p>
    <w:p w14:paraId="1FA98D2C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4.X.1.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n-GB"/>
        </w:rPr>
        <w:t>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Purpose</w:t>
      </w:r>
      <w:r>
        <w:rPr>
          <w:rStyle w:val="eop"/>
          <w:rFonts w:eastAsia="MS Mincho"/>
        </w:rPr>
        <w:t> </w:t>
      </w:r>
    </w:p>
    <w:p w14:paraId="46999EAF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Describe a comprehensive emergency management framework to guide emergency </w:t>
      </w:r>
      <w:r>
        <w:rPr>
          <w:rStyle w:val="normaltextrun"/>
          <w:i/>
          <w:iCs/>
          <w:sz w:val="20"/>
          <w:szCs w:val="20"/>
          <w:lang w:val="en-GB"/>
        </w:rPr>
        <w:t>disease</w:t>
      </w:r>
      <w:r>
        <w:rPr>
          <w:rStyle w:val="normaltextrun"/>
          <w:sz w:val="20"/>
          <w:szCs w:val="20"/>
          <w:lang w:val="en-GB"/>
        </w:rPr>
        <w:t> preparedness by the </w:t>
      </w:r>
      <w:r>
        <w:rPr>
          <w:rStyle w:val="normaltextrun"/>
          <w:i/>
          <w:iCs/>
          <w:sz w:val="20"/>
          <w:szCs w:val="20"/>
          <w:lang w:val="en-GB"/>
        </w:rPr>
        <w:t>Competent Authority</w:t>
      </w:r>
      <w:r>
        <w:rPr>
          <w:rStyle w:val="normaltextrun"/>
          <w:sz w:val="20"/>
          <w:szCs w:val="20"/>
          <w:lang w:val="en-GB"/>
        </w:rPr>
        <w:t>. </w:t>
      </w:r>
      <w:r>
        <w:rPr>
          <w:rStyle w:val="eop"/>
          <w:rFonts w:eastAsia="MS Mincho"/>
        </w:rPr>
        <w:t> </w:t>
      </w:r>
    </w:p>
    <w:p w14:paraId="0E698747" w14:textId="77777777" w:rsidR="000A7B05" w:rsidRPr="00890C8B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sz w:val="20"/>
          <w:szCs w:val="20"/>
          <w:lang w:val="fr-FR"/>
        </w:rPr>
        <w:t>Article 4.X.2.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–</w:t>
      </w:r>
      <w:r>
        <w:rPr>
          <w:rStyle w:val="normaltextrun"/>
          <w:sz w:val="20"/>
          <w:szCs w:val="20"/>
          <w:lang w:val="fr-FR"/>
        </w:rPr>
        <w:t> </w:t>
      </w:r>
      <w:r>
        <w:rPr>
          <w:rStyle w:val="normaltextrun"/>
          <w:b/>
          <w:bCs/>
          <w:sz w:val="20"/>
          <w:szCs w:val="20"/>
          <w:lang w:val="fr-FR"/>
        </w:rPr>
        <w:t>Scope</w:t>
      </w:r>
      <w:r w:rsidRPr="00890C8B">
        <w:rPr>
          <w:rStyle w:val="eop"/>
          <w:rFonts w:eastAsia="MS Mincho"/>
          <w:lang w:val="fr-FR"/>
        </w:rPr>
        <w:t> </w:t>
      </w:r>
    </w:p>
    <w:p w14:paraId="01777142" w14:textId="77777777" w:rsidR="000A7B05" w:rsidRPr="00890C8B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sz w:val="20"/>
          <w:szCs w:val="20"/>
          <w:lang w:val="fr-FR"/>
        </w:rPr>
        <w:t>Article 4.X.3.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 –</w:t>
      </w:r>
      <w:r>
        <w:rPr>
          <w:rStyle w:val="normaltextrun"/>
          <w:b/>
          <w:bCs/>
          <w:sz w:val="20"/>
          <w:szCs w:val="20"/>
          <w:lang w:val="fr-FR"/>
        </w:rPr>
        <w:t> Introduction</w:t>
      </w:r>
      <w:r w:rsidRPr="00890C8B">
        <w:rPr>
          <w:rStyle w:val="eop"/>
          <w:rFonts w:eastAsia="MS Mincho"/>
          <w:lang w:val="fr-FR"/>
        </w:rPr>
        <w:t> </w:t>
      </w:r>
    </w:p>
    <w:p w14:paraId="5E40A8DF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4.X.4.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 –</w:t>
      </w:r>
      <w:r>
        <w:rPr>
          <w:rStyle w:val="normaltextrun"/>
          <w:b/>
          <w:bCs/>
          <w:sz w:val="20"/>
          <w:szCs w:val="20"/>
          <w:lang w:val="en-GB"/>
        </w:rPr>
        <w:t> General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principles</w:t>
      </w:r>
      <w:r>
        <w:rPr>
          <w:rStyle w:val="eop"/>
          <w:rFonts w:eastAsia="MS Mincho"/>
        </w:rPr>
        <w:t> </w:t>
      </w:r>
    </w:p>
    <w:p w14:paraId="719B602E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4.X.5.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Risk analysis </w:t>
      </w:r>
      <w:r>
        <w:rPr>
          <w:rStyle w:val="eop"/>
          <w:rFonts w:eastAsia="MS Mincho"/>
        </w:rPr>
        <w:t> </w:t>
      </w:r>
    </w:p>
    <w:p w14:paraId="70C5C2F6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4.X.6.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Emergency preparedness: authority, capacity and infrastructure</w:t>
      </w:r>
      <w:r>
        <w:rPr>
          <w:rStyle w:val="eop"/>
          <w:rFonts w:eastAsia="MS Mincho"/>
        </w:rPr>
        <w:t> </w:t>
      </w:r>
    </w:p>
    <w:p w14:paraId="6DD55A1D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4.X.7.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Contingency plan</w:t>
      </w:r>
      <w:r>
        <w:rPr>
          <w:rStyle w:val="eop"/>
          <w:rFonts w:eastAsia="MS Mincho"/>
        </w:rPr>
        <w:t> </w:t>
      </w:r>
    </w:p>
    <w:p w14:paraId="2CEF0964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4.X.8.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Information systems</w:t>
      </w:r>
      <w:r>
        <w:rPr>
          <w:rStyle w:val="eop"/>
          <w:rFonts w:eastAsia="MS Mincho"/>
        </w:rPr>
        <w:t> </w:t>
      </w:r>
    </w:p>
    <w:p w14:paraId="694808BC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4.X.9.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Recovery plan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eop"/>
          <w:rFonts w:eastAsia="MS Mincho"/>
        </w:rPr>
        <w:t> </w:t>
      </w:r>
    </w:p>
    <w:p w14:paraId="0B83F21C" w14:textId="77777777" w:rsidR="000A7B05" w:rsidRDefault="000A7B05" w:rsidP="000A7B05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  <w:lang w:val="en-GB"/>
        </w:rPr>
        <w:t>CHAPTER 4.Y</w:t>
      </w:r>
      <w:r>
        <w:rPr>
          <w:rStyle w:val="eop"/>
          <w:rFonts w:eastAsia="MS Mincho"/>
        </w:rPr>
        <w:t> </w:t>
      </w:r>
    </w:p>
    <w:p w14:paraId="5FEBDF88" w14:textId="77777777" w:rsidR="000A7B05" w:rsidRDefault="000A7B05" w:rsidP="000A7B05">
      <w:pPr>
        <w:pStyle w:val="paragraph"/>
        <w:spacing w:before="0" w:beforeAutospacing="0" w:after="12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  <w:lang w:val="en-GB"/>
        </w:rPr>
        <w:t>DISEASE OUTBREAK MANAGEMENT</w:t>
      </w:r>
      <w:r>
        <w:rPr>
          <w:rStyle w:val="eop"/>
          <w:rFonts w:eastAsia="MS Mincho"/>
        </w:rPr>
        <w:t> </w:t>
      </w:r>
    </w:p>
    <w:p w14:paraId="76EB498E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4.X.1.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Purpose</w:t>
      </w:r>
      <w:r>
        <w:rPr>
          <w:rStyle w:val="eop"/>
          <w:rFonts w:eastAsia="MS Mincho"/>
        </w:rPr>
        <w:t> </w:t>
      </w:r>
    </w:p>
    <w:p w14:paraId="3B71D508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To provide recommendations to the </w:t>
      </w:r>
      <w:r>
        <w:rPr>
          <w:rStyle w:val="normaltextrun"/>
          <w:i/>
          <w:iCs/>
          <w:sz w:val="20"/>
          <w:szCs w:val="20"/>
          <w:lang w:val="en-GB"/>
        </w:rPr>
        <w:t>Competent Authorities</w:t>
      </w:r>
      <w:r>
        <w:rPr>
          <w:rStyle w:val="normaltextrun"/>
          <w:sz w:val="20"/>
          <w:szCs w:val="20"/>
          <w:lang w:val="en-GB"/>
        </w:rPr>
        <w:t> for the management of the emergency response to the occurrence of </w:t>
      </w:r>
      <w:r>
        <w:rPr>
          <w:rStyle w:val="normaltextrun"/>
          <w:i/>
          <w:iCs/>
          <w:sz w:val="20"/>
          <w:szCs w:val="20"/>
          <w:lang w:val="en-GB"/>
        </w:rPr>
        <w:t>disease outbreak</w:t>
      </w:r>
      <w:r>
        <w:rPr>
          <w:rStyle w:val="normaltextrun"/>
          <w:sz w:val="20"/>
          <w:szCs w:val="20"/>
          <w:lang w:val="en-GB"/>
        </w:rPr>
        <w:t>. </w:t>
      </w:r>
      <w:r>
        <w:rPr>
          <w:rStyle w:val="eop"/>
          <w:rFonts w:eastAsia="MS Mincho"/>
        </w:rPr>
        <w:t> </w:t>
      </w:r>
    </w:p>
    <w:p w14:paraId="190664E8" w14:textId="77777777" w:rsidR="000A7B05" w:rsidRPr="00890C8B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sz w:val="20"/>
          <w:szCs w:val="20"/>
          <w:lang w:val="fr-FR"/>
        </w:rPr>
        <w:t>Article 4.X.2.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–</w:t>
      </w:r>
      <w:r>
        <w:rPr>
          <w:rStyle w:val="normaltextrun"/>
          <w:sz w:val="20"/>
          <w:szCs w:val="20"/>
          <w:lang w:val="fr-FR"/>
        </w:rPr>
        <w:t> </w:t>
      </w:r>
      <w:r>
        <w:rPr>
          <w:rStyle w:val="normaltextrun"/>
          <w:b/>
          <w:bCs/>
          <w:sz w:val="20"/>
          <w:szCs w:val="20"/>
          <w:lang w:val="fr-FR"/>
        </w:rPr>
        <w:t>Scope</w:t>
      </w:r>
      <w:r w:rsidRPr="00890C8B">
        <w:rPr>
          <w:rStyle w:val="eop"/>
          <w:rFonts w:eastAsia="MS Mincho"/>
          <w:lang w:val="fr-FR"/>
        </w:rPr>
        <w:t> </w:t>
      </w:r>
    </w:p>
    <w:p w14:paraId="2559D952" w14:textId="77777777" w:rsidR="000A7B05" w:rsidRPr="00890C8B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sz w:val="20"/>
          <w:szCs w:val="20"/>
          <w:lang w:val="fr-FR"/>
        </w:rPr>
        <w:t>Article 4.X.3.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–</w:t>
      </w:r>
      <w:r>
        <w:rPr>
          <w:rStyle w:val="normaltextrun"/>
          <w:sz w:val="20"/>
          <w:szCs w:val="20"/>
          <w:lang w:val="fr-FR"/>
        </w:rPr>
        <w:t> </w:t>
      </w:r>
      <w:r>
        <w:rPr>
          <w:rStyle w:val="normaltextrun"/>
          <w:b/>
          <w:bCs/>
          <w:sz w:val="20"/>
          <w:szCs w:val="20"/>
          <w:lang w:val="fr-FR"/>
        </w:rPr>
        <w:t>General Principles</w:t>
      </w:r>
      <w:r w:rsidRPr="00890C8B">
        <w:rPr>
          <w:rStyle w:val="eop"/>
          <w:rFonts w:eastAsia="MS Mincho"/>
          <w:lang w:val="fr-FR"/>
        </w:rPr>
        <w:t> </w:t>
      </w:r>
    </w:p>
    <w:p w14:paraId="02F2EBBF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4.X.4.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Alert and investigation phase</w:t>
      </w:r>
      <w:r>
        <w:rPr>
          <w:rStyle w:val="eop"/>
          <w:rFonts w:eastAsia="MS Mincho"/>
        </w:rPr>
        <w:t> </w:t>
      </w:r>
    </w:p>
    <w:p w14:paraId="3C4AA068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4.X.5.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 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Operation Phase</w:t>
      </w:r>
      <w:r>
        <w:rPr>
          <w:rStyle w:val="eop"/>
          <w:rFonts w:eastAsia="MS Mincho"/>
        </w:rPr>
        <w:t> </w:t>
      </w:r>
    </w:p>
    <w:p w14:paraId="15F87B18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4.X.6.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Stand down phase</w:t>
      </w:r>
      <w:r>
        <w:rPr>
          <w:rStyle w:val="eop"/>
          <w:rFonts w:eastAsia="MS Mincho"/>
        </w:rPr>
        <w:t> </w:t>
      </w:r>
    </w:p>
    <w:p w14:paraId="789712DE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4.X.7.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Communication</w:t>
      </w:r>
      <w:r>
        <w:rPr>
          <w:rStyle w:val="eop"/>
          <w:rFonts w:eastAsia="MS Mincho"/>
        </w:rPr>
        <w:t> </w:t>
      </w:r>
    </w:p>
    <w:p w14:paraId="56BBD5F8" w14:textId="77777777" w:rsidR="000A7B05" w:rsidRDefault="000A7B05" w:rsidP="000A7B05">
      <w:pPr>
        <w:pStyle w:val="paragraph"/>
        <w:spacing w:before="0" w:beforeAutospacing="0" w:after="12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  <w:lang w:val="en-GB"/>
        </w:rPr>
        <w:t>Article 4.X.8. 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–</w:t>
      </w:r>
      <w:r>
        <w:rPr>
          <w:rStyle w:val="normaltextrun"/>
          <w:sz w:val="20"/>
          <w:szCs w:val="20"/>
          <w:lang w:val="en-GB"/>
        </w:rPr>
        <w:t> </w:t>
      </w:r>
      <w:r>
        <w:rPr>
          <w:rStyle w:val="normaltextrun"/>
          <w:b/>
          <w:bCs/>
          <w:sz w:val="20"/>
          <w:szCs w:val="20"/>
          <w:lang w:val="en-GB"/>
        </w:rPr>
        <w:t>Recovery plan</w:t>
      </w:r>
      <w:r>
        <w:rPr>
          <w:rStyle w:val="eop"/>
          <w:rFonts w:eastAsia="MS Mincho"/>
        </w:rPr>
        <w:t> </w:t>
      </w:r>
    </w:p>
    <w:p w14:paraId="47EC96ED" w14:textId="77777777" w:rsidR="000A7B05" w:rsidRPr="005A692C" w:rsidRDefault="000A7B05" w:rsidP="004C6DCF">
      <w:pPr>
        <w:pStyle w:val="Default"/>
        <w:widowControl w:val="0"/>
        <w:autoSpaceDE/>
        <w:adjustRightInd/>
        <w:spacing w:after="24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sectPr w:rsidR="000A7B05" w:rsidRPr="005A692C" w:rsidSect="002E668F">
      <w:footerReference w:type="default" r:id="rId13"/>
      <w:headerReference w:type="first" r:id="rId14"/>
      <w:footerReference w:type="first" r:id="rId15"/>
      <w:pgSz w:w="11907" w:h="16840" w:code="9"/>
      <w:pgMar w:top="1418" w:right="1418" w:bottom="1135" w:left="1418" w:header="567" w:footer="567" w:gutter="0"/>
      <w:pgNumType w:start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76DE" w14:textId="77777777" w:rsidR="00FF76AE" w:rsidRDefault="00FF76AE" w:rsidP="00F06DC5">
      <w:r>
        <w:separator/>
      </w:r>
    </w:p>
  </w:endnote>
  <w:endnote w:type="continuationSeparator" w:id="0">
    <w:p w14:paraId="5305AE67" w14:textId="77777777" w:rsidR="00FF76AE" w:rsidRDefault="00FF76AE" w:rsidP="00F06DC5">
      <w:r>
        <w:continuationSeparator/>
      </w:r>
    </w:p>
  </w:endnote>
  <w:endnote w:type="continuationNotice" w:id="1">
    <w:p w14:paraId="5D3834F4" w14:textId="77777777" w:rsidR="00FF76AE" w:rsidRDefault="00FF7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802F" w14:textId="77777777" w:rsidR="00DD521F" w:rsidRPr="00546AF3" w:rsidRDefault="00DD521F" w:rsidP="00DD521F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  <w:r w:rsidRPr="00546AF3">
      <w:rPr>
        <w:rFonts w:ascii="Arial" w:hAnsi="Arial" w:cs="Arial"/>
        <w:sz w:val="18"/>
        <w:szCs w:val="18"/>
        <w:lang w:val="en-US"/>
      </w:rPr>
      <w:t xml:space="preserve">OIE </w:t>
    </w:r>
    <w:r w:rsidRPr="00546AF3">
      <w:rPr>
        <w:rFonts w:ascii="Arial" w:hAnsi="Arial" w:cs="Arial"/>
        <w:i/>
        <w:sz w:val="18"/>
        <w:szCs w:val="18"/>
        <w:lang w:val="en-US"/>
      </w:rPr>
      <w:t>ad hoc</w:t>
    </w:r>
    <w:r w:rsidRPr="00546AF3">
      <w:rPr>
        <w:rFonts w:ascii="Arial" w:hAnsi="Arial" w:cs="Arial"/>
        <w:sz w:val="18"/>
        <w:szCs w:val="18"/>
        <w:lang w:val="en-US"/>
      </w:rPr>
      <w:t xml:space="preserve"> Group on </w:t>
    </w:r>
    <w:r>
      <w:rPr>
        <w:rFonts w:ascii="Arial" w:hAnsi="Arial" w:cs="Arial"/>
        <w:sz w:val="18"/>
        <w:szCs w:val="18"/>
        <w:lang w:val="en-US"/>
      </w:rPr>
      <w:t>emergency disease preparedness and disease outbreak management</w:t>
    </w:r>
  </w:p>
  <w:p w14:paraId="41E51AD7" w14:textId="77777777" w:rsidR="00544E30" w:rsidRPr="00F06DC5" w:rsidRDefault="00544E30" w:rsidP="00544E30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  <w:r w:rsidRPr="005202F5">
      <w:rPr>
        <w:rFonts w:ascii="Arial" w:hAnsi="Arial" w:cs="Arial"/>
        <w:sz w:val="18"/>
        <w:szCs w:val="18"/>
        <w:lang w:val="en-US"/>
      </w:rPr>
      <w:t>6,7 and 10 December 2021</w:t>
    </w:r>
  </w:p>
  <w:p w14:paraId="1C7EAF31" w14:textId="6474E6E6" w:rsidR="003F6CA5" w:rsidRPr="00F06DC5" w:rsidRDefault="003F6CA5" w:rsidP="003F6CA5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  <w:p w14:paraId="6C25AC84" w14:textId="55403D5B" w:rsidR="00F06DC5" w:rsidRPr="00F06DC5" w:rsidRDefault="00F06DC5" w:rsidP="003F6CA5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5A9C" w14:textId="0F7C741A" w:rsidR="00F06DC5" w:rsidRPr="00546AF3" w:rsidRDefault="00F06DC5" w:rsidP="00F06DC5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  <w:r w:rsidRPr="00546AF3">
      <w:rPr>
        <w:rFonts w:ascii="Arial" w:hAnsi="Arial" w:cs="Arial"/>
        <w:sz w:val="18"/>
        <w:szCs w:val="18"/>
        <w:lang w:val="en-US"/>
      </w:rPr>
      <w:t xml:space="preserve">OIE </w:t>
    </w:r>
    <w:r w:rsidRPr="00546AF3">
      <w:rPr>
        <w:rFonts w:ascii="Arial" w:hAnsi="Arial" w:cs="Arial"/>
        <w:i/>
        <w:sz w:val="18"/>
        <w:szCs w:val="18"/>
        <w:lang w:val="en-US"/>
      </w:rPr>
      <w:t>ad hoc</w:t>
    </w:r>
    <w:r w:rsidRPr="00546AF3">
      <w:rPr>
        <w:rFonts w:ascii="Arial" w:hAnsi="Arial" w:cs="Arial"/>
        <w:sz w:val="18"/>
        <w:szCs w:val="18"/>
        <w:lang w:val="en-US"/>
      </w:rPr>
      <w:t xml:space="preserve"> Group on </w:t>
    </w:r>
    <w:r w:rsidR="005202F5">
      <w:rPr>
        <w:rFonts w:ascii="Arial" w:hAnsi="Arial" w:cs="Arial"/>
        <w:sz w:val="18"/>
        <w:szCs w:val="18"/>
        <w:lang w:val="en-US"/>
      </w:rPr>
      <w:t>E</w:t>
    </w:r>
    <w:r w:rsidR="001E5D32">
      <w:rPr>
        <w:rFonts w:ascii="Arial" w:hAnsi="Arial" w:cs="Arial"/>
        <w:sz w:val="18"/>
        <w:szCs w:val="18"/>
        <w:lang w:val="en-US"/>
      </w:rPr>
      <w:t xml:space="preserve">mergency disease preparedness and </w:t>
    </w:r>
    <w:r w:rsidR="005202F5">
      <w:rPr>
        <w:rFonts w:ascii="Arial" w:hAnsi="Arial" w:cs="Arial"/>
        <w:sz w:val="18"/>
        <w:szCs w:val="18"/>
        <w:lang w:val="en-US"/>
      </w:rPr>
      <w:t>D</w:t>
    </w:r>
    <w:r w:rsidR="001E5D32">
      <w:rPr>
        <w:rFonts w:ascii="Arial" w:hAnsi="Arial" w:cs="Arial"/>
        <w:sz w:val="18"/>
        <w:szCs w:val="18"/>
        <w:lang w:val="en-US"/>
      </w:rPr>
      <w:t>isease outbreak management</w:t>
    </w:r>
  </w:p>
  <w:p w14:paraId="0A9C13ED" w14:textId="7926D532" w:rsidR="00F06DC5" w:rsidRPr="00F06DC5" w:rsidRDefault="00B62D39" w:rsidP="00F06DC5">
    <w:pPr>
      <w:pStyle w:val="Footer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  <w:r w:rsidRPr="005202F5">
      <w:rPr>
        <w:rFonts w:ascii="Arial" w:hAnsi="Arial" w:cs="Arial"/>
        <w:sz w:val="18"/>
        <w:szCs w:val="18"/>
        <w:lang w:val="en-US"/>
      </w:rPr>
      <w:t>Date</w:t>
    </w:r>
    <w:r w:rsidR="00AF3355" w:rsidRPr="005202F5">
      <w:rPr>
        <w:rFonts w:ascii="Arial" w:hAnsi="Arial" w:cs="Arial"/>
        <w:sz w:val="18"/>
        <w:szCs w:val="18"/>
        <w:lang w:val="en-US"/>
      </w:rPr>
      <w:t xml:space="preserve"> of meeting</w:t>
    </w:r>
    <w:r w:rsidR="00160885" w:rsidRPr="005202F5">
      <w:rPr>
        <w:rFonts w:ascii="Arial" w:hAnsi="Arial" w:cs="Arial"/>
        <w:sz w:val="18"/>
        <w:szCs w:val="18"/>
        <w:lang w:val="en-US"/>
      </w:rPr>
      <w:t xml:space="preserve">: </w:t>
    </w:r>
    <w:r w:rsidR="005202F5" w:rsidRPr="005202F5">
      <w:rPr>
        <w:rFonts w:ascii="Arial" w:hAnsi="Arial" w:cs="Arial"/>
        <w:sz w:val="18"/>
        <w:szCs w:val="18"/>
        <w:lang w:val="en-US"/>
      </w:rPr>
      <w:t xml:space="preserve">6,7 and </w:t>
    </w:r>
    <w:r w:rsidR="006249A4" w:rsidRPr="005202F5">
      <w:rPr>
        <w:rFonts w:ascii="Arial" w:hAnsi="Arial" w:cs="Arial"/>
        <w:sz w:val="18"/>
        <w:szCs w:val="18"/>
        <w:lang w:val="en-US"/>
      </w:rPr>
      <w:t>10 December</w:t>
    </w:r>
    <w:r w:rsidR="00160885" w:rsidRPr="005202F5">
      <w:rPr>
        <w:rFonts w:ascii="Arial" w:hAnsi="Arial" w:cs="Arial"/>
        <w:sz w:val="18"/>
        <w:szCs w:val="18"/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EB3D" w14:textId="77777777" w:rsidR="00FF76AE" w:rsidRDefault="00FF76AE" w:rsidP="00F06DC5">
      <w:r>
        <w:separator/>
      </w:r>
    </w:p>
  </w:footnote>
  <w:footnote w:type="continuationSeparator" w:id="0">
    <w:p w14:paraId="09812167" w14:textId="77777777" w:rsidR="00FF76AE" w:rsidRDefault="00FF76AE" w:rsidP="00F06DC5">
      <w:r>
        <w:continuationSeparator/>
      </w:r>
    </w:p>
  </w:footnote>
  <w:footnote w:type="continuationNotice" w:id="1">
    <w:p w14:paraId="09C0C20F" w14:textId="77777777" w:rsidR="00FF76AE" w:rsidRDefault="00FF76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DD62" w14:textId="49761E69" w:rsidR="00314F89" w:rsidRPr="00CA417F" w:rsidRDefault="005202F5" w:rsidP="00CA417F">
    <w:pPr>
      <w:pStyle w:val="Header"/>
      <w:pBdr>
        <w:bottom w:val="single" w:sz="4" w:space="1" w:color="auto"/>
      </w:pBdr>
      <w:jc w:val="right"/>
    </w:pPr>
    <w:r>
      <w:t>Paris, November</w:t>
    </w:r>
    <w:r w:rsidR="00BD3224">
      <w:t xml:space="preserve"> </w:t>
    </w:r>
    <w:r w:rsidR="001E5D32"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6DC"/>
    <w:multiLevelType w:val="hybridMultilevel"/>
    <w:tmpl w:val="61487666"/>
    <w:lvl w:ilvl="0" w:tplc="E826C190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60155"/>
    <w:multiLevelType w:val="hybridMultilevel"/>
    <w:tmpl w:val="AF027FA8"/>
    <w:lvl w:ilvl="0" w:tplc="F2A09BF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61EB"/>
    <w:multiLevelType w:val="hybridMultilevel"/>
    <w:tmpl w:val="8EEA4B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323F"/>
    <w:multiLevelType w:val="hybridMultilevel"/>
    <w:tmpl w:val="43B04C54"/>
    <w:lvl w:ilvl="0" w:tplc="AB543F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8D7FF9"/>
    <w:multiLevelType w:val="hybridMultilevel"/>
    <w:tmpl w:val="B5E229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63C1C"/>
    <w:multiLevelType w:val="hybridMultilevel"/>
    <w:tmpl w:val="99EC7FCE"/>
    <w:lvl w:ilvl="0" w:tplc="10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 w15:restartNumberingAfterBreak="0">
    <w:nsid w:val="0DF06FEA"/>
    <w:multiLevelType w:val="hybridMultilevel"/>
    <w:tmpl w:val="44CE0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53277"/>
    <w:multiLevelType w:val="hybridMultilevel"/>
    <w:tmpl w:val="653E51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04138"/>
    <w:multiLevelType w:val="hybridMultilevel"/>
    <w:tmpl w:val="EE3C3B66"/>
    <w:lvl w:ilvl="0" w:tplc="4198ED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C1495"/>
    <w:multiLevelType w:val="hybridMultilevel"/>
    <w:tmpl w:val="4FCE0350"/>
    <w:lvl w:ilvl="0" w:tplc="62B080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5F04C35"/>
    <w:multiLevelType w:val="hybridMultilevel"/>
    <w:tmpl w:val="A8A40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23972"/>
    <w:multiLevelType w:val="hybridMultilevel"/>
    <w:tmpl w:val="8DCAED8E"/>
    <w:lvl w:ilvl="0" w:tplc="55201142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07D45"/>
    <w:multiLevelType w:val="hybridMultilevel"/>
    <w:tmpl w:val="E8E09EC8"/>
    <w:lvl w:ilvl="0" w:tplc="F7B44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C20AE"/>
    <w:multiLevelType w:val="hybridMultilevel"/>
    <w:tmpl w:val="F29CF526"/>
    <w:lvl w:ilvl="0" w:tplc="252C7B0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67035"/>
    <w:multiLevelType w:val="hybridMultilevel"/>
    <w:tmpl w:val="067E798A"/>
    <w:lvl w:ilvl="0" w:tplc="5436135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394ACD"/>
    <w:multiLevelType w:val="hybridMultilevel"/>
    <w:tmpl w:val="DF50C5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068F3"/>
    <w:multiLevelType w:val="hybridMultilevel"/>
    <w:tmpl w:val="DE88C2D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4259F"/>
    <w:multiLevelType w:val="hybridMultilevel"/>
    <w:tmpl w:val="2FC4F2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E2B00"/>
    <w:multiLevelType w:val="hybridMultilevel"/>
    <w:tmpl w:val="CCFEB7F2"/>
    <w:lvl w:ilvl="0" w:tplc="5436135C">
      <w:start w:val="1"/>
      <w:numFmt w:val="decimal"/>
      <w:lvlText w:val="%1."/>
      <w:lvlJc w:val="left"/>
      <w:pPr>
        <w:ind w:left="121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5E831D3"/>
    <w:multiLevelType w:val="hybridMultilevel"/>
    <w:tmpl w:val="550AC36E"/>
    <w:lvl w:ilvl="0" w:tplc="D0BC6BB4">
      <w:start w:val="1"/>
      <w:numFmt w:val="lowerRoman"/>
      <w:lvlText w:val="%1."/>
      <w:lvlJc w:val="left"/>
      <w:pPr>
        <w:ind w:left="786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1CA2912"/>
    <w:multiLevelType w:val="hybridMultilevel"/>
    <w:tmpl w:val="07F81ED0"/>
    <w:lvl w:ilvl="0" w:tplc="5436135C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65576"/>
    <w:multiLevelType w:val="hybridMultilevel"/>
    <w:tmpl w:val="133E794C"/>
    <w:lvl w:ilvl="0" w:tplc="AB60F470">
      <w:start w:val="4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FA109E"/>
    <w:multiLevelType w:val="hybridMultilevel"/>
    <w:tmpl w:val="341A5AAE"/>
    <w:lvl w:ilvl="0" w:tplc="5B80D0B4">
      <w:start w:val="1"/>
      <w:numFmt w:val="decimal"/>
      <w:lvlText w:val="%1."/>
      <w:lvlJc w:val="left"/>
      <w:pPr>
        <w:ind w:left="360" w:hanging="360"/>
      </w:pPr>
      <w:rPr>
        <w:rFonts w:ascii="Times New Roman" w:eastAsia="Malgun Gothic" w:hAnsi="Times New Roman" w:cs="Times New Roman"/>
        <w:sz w:val="16"/>
      </w:rPr>
    </w:lvl>
    <w:lvl w:ilvl="1" w:tplc="040C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A2FDD"/>
    <w:multiLevelType w:val="hybridMultilevel"/>
    <w:tmpl w:val="FDBCB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86BA0"/>
    <w:multiLevelType w:val="hybridMultilevel"/>
    <w:tmpl w:val="72FEE7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E3C51"/>
    <w:multiLevelType w:val="hybridMultilevel"/>
    <w:tmpl w:val="DEAE5CCE"/>
    <w:lvl w:ilvl="0" w:tplc="D6400E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441FC"/>
    <w:multiLevelType w:val="hybridMultilevel"/>
    <w:tmpl w:val="77989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41978"/>
    <w:multiLevelType w:val="hybridMultilevel"/>
    <w:tmpl w:val="9354A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B5B0B"/>
    <w:multiLevelType w:val="hybridMultilevel"/>
    <w:tmpl w:val="742E81A6"/>
    <w:lvl w:ilvl="0" w:tplc="B300AE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1648D"/>
    <w:multiLevelType w:val="hybridMultilevel"/>
    <w:tmpl w:val="CD82869E"/>
    <w:lvl w:ilvl="0" w:tplc="5436135C">
      <w:start w:val="1"/>
      <w:numFmt w:val="decimal"/>
      <w:lvlText w:val="%1."/>
      <w:lvlJc w:val="left"/>
      <w:pPr>
        <w:ind w:left="836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0" w15:restartNumberingAfterBreak="0">
    <w:nsid w:val="6FF01A1B"/>
    <w:multiLevelType w:val="hybridMultilevel"/>
    <w:tmpl w:val="26DE6F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0"/>
  </w:num>
  <w:num w:numId="5">
    <w:abstractNumId w:val="28"/>
  </w:num>
  <w:num w:numId="6">
    <w:abstractNumId w:val="11"/>
  </w:num>
  <w:num w:numId="7">
    <w:abstractNumId w:val="30"/>
  </w:num>
  <w:num w:numId="8">
    <w:abstractNumId w:val="25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7"/>
  </w:num>
  <w:num w:numId="16">
    <w:abstractNumId w:val="4"/>
  </w:num>
  <w:num w:numId="17">
    <w:abstractNumId w:val="26"/>
  </w:num>
  <w:num w:numId="18">
    <w:abstractNumId w:val="10"/>
  </w:num>
  <w:num w:numId="19">
    <w:abstractNumId w:val="5"/>
  </w:num>
  <w:num w:numId="20">
    <w:abstractNumId w:val="20"/>
  </w:num>
  <w:num w:numId="21">
    <w:abstractNumId w:val="18"/>
  </w:num>
  <w:num w:numId="22">
    <w:abstractNumId w:val="14"/>
  </w:num>
  <w:num w:numId="23">
    <w:abstractNumId w:val="29"/>
  </w:num>
  <w:num w:numId="24">
    <w:abstractNumId w:val="19"/>
  </w:num>
  <w:num w:numId="25">
    <w:abstractNumId w:val="9"/>
  </w:num>
  <w:num w:numId="26">
    <w:abstractNumId w:val="3"/>
  </w:num>
  <w:num w:numId="27">
    <w:abstractNumId w:val="15"/>
  </w:num>
  <w:num w:numId="28">
    <w:abstractNumId w:val="23"/>
  </w:num>
  <w:num w:numId="29">
    <w:abstractNumId w:val="21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zAxtrAwMzK3NDNW0lEKTi0uzszPAykwNKwFAIszIeUtAAAA"/>
  </w:docVars>
  <w:rsids>
    <w:rsidRoot w:val="001E5D32"/>
    <w:rsid w:val="00003CA5"/>
    <w:rsid w:val="00004C2A"/>
    <w:rsid w:val="000156AE"/>
    <w:rsid w:val="0002230E"/>
    <w:rsid w:val="00023981"/>
    <w:rsid w:val="00031E85"/>
    <w:rsid w:val="00040F61"/>
    <w:rsid w:val="000411A7"/>
    <w:rsid w:val="00055444"/>
    <w:rsid w:val="000554B8"/>
    <w:rsid w:val="000579F1"/>
    <w:rsid w:val="00060B09"/>
    <w:rsid w:val="00061CE2"/>
    <w:rsid w:val="00063623"/>
    <w:rsid w:val="00067FA1"/>
    <w:rsid w:val="0007218E"/>
    <w:rsid w:val="0008028B"/>
    <w:rsid w:val="000A7722"/>
    <w:rsid w:val="000A7B05"/>
    <w:rsid w:val="000B1A9A"/>
    <w:rsid w:val="000C1181"/>
    <w:rsid w:val="000C4267"/>
    <w:rsid w:val="000D1799"/>
    <w:rsid w:val="000D6CBB"/>
    <w:rsid w:val="000E15BE"/>
    <w:rsid w:val="000E1E3B"/>
    <w:rsid w:val="000E5116"/>
    <w:rsid w:val="00105F8B"/>
    <w:rsid w:val="00106C6F"/>
    <w:rsid w:val="00114CAB"/>
    <w:rsid w:val="001163A1"/>
    <w:rsid w:val="00116714"/>
    <w:rsid w:val="00121581"/>
    <w:rsid w:val="00130BE2"/>
    <w:rsid w:val="00131494"/>
    <w:rsid w:val="001316B4"/>
    <w:rsid w:val="00135236"/>
    <w:rsid w:val="001358C6"/>
    <w:rsid w:val="00136A46"/>
    <w:rsid w:val="001405CD"/>
    <w:rsid w:val="00146712"/>
    <w:rsid w:val="00151025"/>
    <w:rsid w:val="00153B50"/>
    <w:rsid w:val="0015528C"/>
    <w:rsid w:val="001600FC"/>
    <w:rsid w:val="00160885"/>
    <w:rsid w:val="00176065"/>
    <w:rsid w:val="0017651E"/>
    <w:rsid w:val="00177EF5"/>
    <w:rsid w:val="00181B1F"/>
    <w:rsid w:val="00186DB3"/>
    <w:rsid w:val="00197B04"/>
    <w:rsid w:val="001A03B1"/>
    <w:rsid w:val="001A410A"/>
    <w:rsid w:val="001B13E0"/>
    <w:rsid w:val="001B4B97"/>
    <w:rsid w:val="001B590B"/>
    <w:rsid w:val="001C49AC"/>
    <w:rsid w:val="001D459E"/>
    <w:rsid w:val="001E50FB"/>
    <w:rsid w:val="001E5D10"/>
    <w:rsid w:val="001E5D32"/>
    <w:rsid w:val="001F3789"/>
    <w:rsid w:val="001F6C10"/>
    <w:rsid w:val="001F7EC4"/>
    <w:rsid w:val="00202128"/>
    <w:rsid w:val="00202281"/>
    <w:rsid w:val="00204585"/>
    <w:rsid w:val="0020582A"/>
    <w:rsid w:val="00226450"/>
    <w:rsid w:val="002352D3"/>
    <w:rsid w:val="00240673"/>
    <w:rsid w:val="002413D7"/>
    <w:rsid w:val="002504F1"/>
    <w:rsid w:val="00254507"/>
    <w:rsid w:val="00254A09"/>
    <w:rsid w:val="00266FE8"/>
    <w:rsid w:val="00276191"/>
    <w:rsid w:val="002779A3"/>
    <w:rsid w:val="00281649"/>
    <w:rsid w:val="002A15D1"/>
    <w:rsid w:val="002A4889"/>
    <w:rsid w:val="002A5CE5"/>
    <w:rsid w:val="002B5111"/>
    <w:rsid w:val="002C0381"/>
    <w:rsid w:val="002C0826"/>
    <w:rsid w:val="002C12E4"/>
    <w:rsid w:val="002D3FDB"/>
    <w:rsid w:val="002E668F"/>
    <w:rsid w:val="002E6889"/>
    <w:rsid w:val="002F1E11"/>
    <w:rsid w:val="002F4307"/>
    <w:rsid w:val="00301199"/>
    <w:rsid w:val="00314678"/>
    <w:rsid w:val="00314F89"/>
    <w:rsid w:val="00334B07"/>
    <w:rsid w:val="00334FC8"/>
    <w:rsid w:val="00337253"/>
    <w:rsid w:val="00363957"/>
    <w:rsid w:val="0037181F"/>
    <w:rsid w:val="0037577D"/>
    <w:rsid w:val="00386224"/>
    <w:rsid w:val="0039145F"/>
    <w:rsid w:val="003937C4"/>
    <w:rsid w:val="00395527"/>
    <w:rsid w:val="0039562E"/>
    <w:rsid w:val="00395D33"/>
    <w:rsid w:val="00397BD1"/>
    <w:rsid w:val="003B4F46"/>
    <w:rsid w:val="003B65AC"/>
    <w:rsid w:val="003C3CFC"/>
    <w:rsid w:val="003C42C7"/>
    <w:rsid w:val="003D65DD"/>
    <w:rsid w:val="003E09BF"/>
    <w:rsid w:val="003E78D7"/>
    <w:rsid w:val="003F0940"/>
    <w:rsid w:val="003F374A"/>
    <w:rsid w:val="003F4B57"/>
    <w:rsid w:val="003F6CA5"/>
    <w:rsid w:val="004006CD"/>
    <w:rsid w:val="00401742"/>
    <w:rsid w:val="00406F8B"/>
    <w:rsid w:val="00407B2D"/>
    <w:rsid w:val="00412061"/>
    <w:rsid w:val="0041476E"/>
    <w:rsid w:val="0041604B"/>
    <w:rsid w:val="00424288"/>
    <w:rsid w:val="004309A0"/>
    <w:rsid w:val="00441E80"/>
    <w:rsid w:val="00442774"/>
    <w:rsid w:val="00471BDC"/>
    <w:rsid w:val="00473D94"/>
    <w:rsid w:val="004740B4"/>
    <w:rsid w:val="00476BB6"/>
    <w:rsid w:val="004803E3"/>
    <w:rsid w:val="00490395"/>
    <w:rsid w:val="00491E8F"/>
    <w:rsid w:val="00494343"/>
    <w:rsid w:val="004A063F"/>
    <w:rsid w:val="004A560F"/>
    <w:rsid w:val="004A60DF"/>
    <w:rsid w:val="004A694C"/>
    <w:rsid w:val="004C6DCF"/>
    <w:rsid w:val="004D1D41"/>
    <w:rsid w:val="004E35B0"/>
    <w:rsid w:val="004E7EDF"/>
    <w:rsid w:val="004F0BAC"/>
    <w:rsid w:val="004F21B8"/>
    <w:rsid w:val="004F4E2A"/>
    <w:rsid w:val="004F56D3"/>
    <w:rsid w:val="004F755F"/>
    <w:rsid w:val="00504D8B"/>
    <w:rsid w:val="0050780A"/>
    <w:rsid w:val="00512CE2"/>
    <w:rsid w:val="00515880"/>
    <w:rsid w:val="005202F5"/>
    <w:rsid w:val="005322A0"/>
    <w:rsid w:val="005356A4"/>
    <w:rsid w:val="005441C8"/>
    <w:rsid w:val="00544E30"/>
    <w:rsid w:val="00545B4D"/>
    <w:rsid w:val="005504D9"/>
    <w:rsid w:val="00553E4B"/>
    <w:rsid w:val="005567F0"/>
    <w:rsid w:val="005604ED"/>
    <w:rsid w:val="00565EC0"/>
    <w:rsid w:val="005661B7"/>
    <w:rsid w:val="005706D6"/>
    <w:rsid w:val="0058441D"/>
    <w:rsid w:val="0059070D"/>
    <w:rsid w:val="00591C1B"/>
    <w:rsid w:val="005A19D0"/>
    <w:rsid w:val="005A3D1C"/>
    <w:rsid w:val="005A692C"/>
    <w:rsid w:val="005A6E0C"/>
    <w:rsid w:val="005C4962"/>
    <w:rsid w:val="005D282E"/>
    <w:rsid w:val="005D493A"/>
    <w:rsid w:val="005F11C4"/>
    <w:rsid w:val="005F24D6"/>
    <w:rsid w:val="005F3987"/>
    <w:rsid w:val="005F44B9"/>
    <w:rsid w:val="006015FB"/>
    <w:rsid w:val="00605202"/>
    <w:rsid w:val="00612173"/>
    <w:rsid w:val="00613C18"/>
    <w:rsid w:val="00622434"/>
    <w:rsid w:val="00623697"/>
    <w:rsid w:val="006243AA"/>
    <w:rsid w:val="006249A4"/>
    <w:rsid w:val="00624C87"/>
    <w:rsid w:val="00632E1A"/>
    <w:rsid w:val="006377A5"/>
    <w:rsid w:val="00643E0A"/>
    <w:rsid w:val="00653046"/>
    <w:rsid w:val="00653E0E"/>
    <w:rsid w:val="00655A44"/>
    <w:rsid w:val="006568EE"/>
    <w:rsid w:val="006617A4"/>
    <w:rsid w:val="00662B4D"/>
    <w:rsid w:val="00666159"/>
    <w:rsid w:val="00680FFD"/>
    <w:rsid w:val="00687237"/>
    <w:rsid w:val="006978A7"/>
    <w:rsid w:val="006A3135"/>
    <w:rsid w:val="006B3447"/>
    <w:rsid w:val="006B5C03"/>
    <w:rsid w:val="006C114F"/>
    <w:rsid w:val="006C5E48"/>
    <w:rsid w:val="006D0AA5"/>
    <w:rsid w:val="006E7D6F"/>
    <w:rsid w:val="006F3CA2"/>
    <w:rsid w:val="00702B25"/>
    <w:rsid w:val="007053CB"/>
    <w:rsid w:val="0071771C"/>
    <w:rsid w:val="00726947"/>
    <w:rsid w:val="00730AEB"/>
    <w:rsid w:val="00745620"/>
    <w:rsid w:val="007532F8"/>
    <w:rsid w:val="00754132"/>
    <w:rsid w:val="00757BD6"/>
    <w:rsid w:val="007610E6"/>
    <w:rsid w:val="007628C8"/>
    <w:rsid w:val="007659C7"/>
    <w:rsid w:val="00773B12"/>
    <w:rsid w:val="007852AE"/>
    <w:rsid w:val="00794D8D"/>
    <w:rsid w:val="0079538A"/>
    <w:rsid w:val="00797F33"/>
    <w:rsid w:val="007A0EDB"/>
    <w:rsid w:val="007A2549"/>
    <w:rsid w:val="007A2D63"/>
    <w:rsid w:val="007A6622"/>
    <w:rsid w:val="007A71B4"/>
    <w:rsid w:val="007B5E78"/>
    <w:rsid w:val="007C16E9"/>
    <w:rsid w:val="007C4130"/>
    <w:rsid w:val="007C5F65"/>
    <w:rsid w:val="008063F0"/>
    <w:rsid w:val="0081050A"/>
    <w:rsid w:val="00815DB7"/>
    <w:rsid w:val="0081669E"/>
    <w:rsid w:val="00821DCD"/>
    <w:rsid w:val="008241AA"/>
    <w:rsid w:val="00830854"/>
    <w:rsid w:val="0083387D"/>
    <w:rsid w:val="00844D63"/>
    <w:rsid w:val="00845326"/>
    <w:rsid w:val="00847817"/>
    <w:rsid w:val="00847B9B"/>
    <w:rsid w:val="008647A3"/>
    <w:rsid w:val="00864F67"/>
    <w:rsid w:val="0087238A"/>
    <w:rsid w:val="00880616"/>
    <w:rsid w:val="00881516"/>
    <w:rsid w:val="00883E8B"/>
    <w:rsid w:val="0088414B"/>
    <w:rsid w:val="00897BAE"/>
    <w:rsid w:val="008A21F5"/>
    <w:rsid w:val="008B18C3"/>
    <w:rsid w:val="008B5509"/>
    <w:rsid w:val="008B555A"/>
    <w:rsid w:val="008B5774"/>
    <w:rsid w:val="008C1349"/>
    <w:rsid w:val="008C1BB7"/>
    <w:rsid w:val="008C2CEE"/>
    <w:rsid w:val="008C5BAF"/>
    <w:rsid w:val="008D2FCE"/>
    <w:rsid w:val="008D52FF"/>
    <w:rsid w:val="008D5765"/>
    <w:rsid w:val="008D5FA7"/>
    <w:rsid w:val="008D64CF"/>
    <w:rsid w:val="008E3D30"/>
    <w:rsid w:val="008F0730"/>
    <w:rsid w:val="008F6756"/>
    <w:rsid w:val="00903C1C"/>
    <w:rsid w:val="00910680"/>
    <w:rsid w:val="00911E4D"/>
    <w:rsid w:val="00913045"/>
    <w:rsid w:val="0091349D"/>
    <w:rsid w:val="00913D41"/>
    <w:rsid w:val="00921C27"/>
    <w:rsid w:val="009269B4"/>
    <w:rsid w:val="0093114D"/>
    <w:rsid w:val="009437AE"/>
    <w:rsid w:val="00945942"/>
    <w:rsid w:val="00952FBB"/>
    <w:rsid w:val="009616F7"/>
    <w:rsid w:val="0096498F"/>
    <w:rsid w:val="00967B43"/>
    <w:rsid w:val="0097100E"/>
    <w:rsid w:val="009755CB"/>
    <w:rsid w:val="00975890"/>
    <w:rsid w:val="00982874"/>
    <w:rsid w:val="00984099"/>
    <w:rsid w:val="009932C3"/>
    <w:rsid w:val="009A1067"/>
    <w:rsid w:val="009C2198"/>
    <w:rsid w:val="009C30C1"/>
    <w:rsid w:val="009C6E8E"/>
    <w:rsid w:val="009D554A"/>
    <w:rsid w:val="009E4245"/>
    <w:rsid w:val="009F0254"/>
    <w:rsid w:val="00A052BD"/>
    <w:rsid w:val="00A05A45"/>
    <w:rsid w:val="00A075F4"/>
    <w:rsid w:val="00A339E1"/>
    <w:rsid w:val="00A3755D"/>
    <w:rsid w:val="00A4101B"/>
    <w:rsid w:val="00A44EED"/>
    <w:rsid w:val="00A66404"/>
    <w:rsid w:val="00A70DFB"/>
    <w:rsid w:val="00A72884"/>
    <w:rsid w:val="00A82D61"/>
    <w:rsid w:val="00A831BF"/>
    <w:rsid w:val="00A92D36"/>
    <w:rsid w:val="00AA2BED"/>
    <w:rsid w:val="00AA5A2B"/>
    <w:rsid w:val="00AD4D59"/>
    <w:rsid w:val="00AE104D"/>
    <w:rsid w:val="00AE2AF2"/>
    <w:rsid w:val="00AF3355"/>
    <w:rsid w:val="00B02876"/>
    <w:rsid w:val="00B035E6"/>
    <w:rsid w:val="00B03C59"/>
    <w:rsid w:val="00B04AB0"/>
    <w:rsid w:val="00B11393"/>
    <w:rsid w:val="00B315D6"/>
    <w:rsid w:val="00B344AA"/>
    <w:rsid w:val="00B37C3A"/>
    <w:rsid w:val="00B43BAA"/>
    <w:rsid w:val="00B44D90"/>
    <w:rsid w:val="00B46539"/>
    <w:rsid w:val="00B53895"/>
    <w:rsid w:val="00B57E28"/>
    <w:rsid w:val="00B62D39"/>
    <w:rsid w:val="00B65B54"/>
    <w:rsid w:val="00B74EE9"/>
    <w:rsid w:val="00B80CF3"/>
    <w:rsid w:val="00B91692"/>
    <w:rsid w:val="00B9446A"/>
    <w:rsid w:val="00BA55AB"/>
    <w:rsid w:val="00BB1B2F"/>
    <w:rsid w:val="00BB5DFA"/>
    <w:rsid w:val="00BC3FDA"/>
    <w:rsid w:val="00BD1AE0"/>
    <w:rsid w:val="00BD3159"/>
    <w:rsid w:val="00BD3224"/>
    <w:rsid w:val="00BE31AB"/>
    <w:rsid w:val="00BF20E1"/>
    <w:rsid w:val="00BF23F6"/>
    <w:rsid w:val="00BF675F"/>
    <w:rsid w:val="00C0006A"/>
    <w:rsid w:val="00C04976"/>
    <w:rsid w:val="00C07694"/>
    <w:rsid w:val="00C14876"/>
    <w:rsid w:val="00C15E6F"/>
    <w:rsid w:val="00C23FC5"/>
    <w:rsid w:val="00C24A2E"/>
    <w:rsid w:val="00C34E2D"/>
    <w:rsid w:val="00C5522C"/>
    <w:rsid w:val="00C57A4C"/>
    <w:rsid w:val="00C63EF9"/>
    <w:rsid w:val="00C75823"/>
    <w:rsid w:val="00C802F5"/>
    <w:rsid w:val="00C84F04"/>
    <w:rsid w:val="00C865D9"/>
    <w:rsid w:val="00C92330"/>
    <w:rsid w:val="00CA40CE"/>
    <w:rsid w:val="00CA417F"/>
    <w:rsid w:val="00CA44B3"/>
    <w:rsid w:val="00CB059B"/>
    <w:rsid w:val="00CC08AE"/>
    <w:rsid w:val="00CC3B7F"/>
    <w:rsid w:val="00CC534F"/>
    <w:rsid w:val="00CD14D2"/>
    <w:rsid w:val="00CD29DB"/>
    <w:rsid w:val="00CD2EB5"/>
    <w:rsid w:val="00CD3041"/>
    <w:rsid w:val="00CD330B"/>
    <w:rsid w:val="00CF35C8"/>
    <w:rsid w:val="00CF6AF3"/>
    <w:rsid w:val="00D00908"/>
    <w:rsid w:val="00D01889"/>
    <w:rsid w:val="00D02F74"/>
    <w:rsid w:val="00D05173"/>
    <w:rsid w:val="00D30685"/>
    <w:rsid w:val="00D3378C"/>
    <w:rsid w:val="00D339C5"/>
    <w:rsid w:val="00D37F55"/>
    <w:rsid w:val="00D47F30"/>
    <w:rsid w:val="00D64BB5"/>
    <w:rsid w:val="00D65684"/>
    <w:rsid w:val="00D765BC"/>
    <w:rsid w:val="00D81DF7"/>
    <w:rsid w:val="00D84378"/>
    <w:rsid w:val="00D84B47"/>
    <w:rsid w:val="00D8667F"/>
    <w:rsid w:val="00D96383"/>
    <w:rsid w:val="00D97DB6"/>
    <w:rsid w:val="00DB33D9"/>
    <w:rsid w:val="00DB59D4"/>
    <w:rsid w:val="00DB5B3B"/>
    <w:rsid w:val="00DB7B41"/>
    <w:rsid w:val="00DB7D40"/>
    <w:rsid w:val="00DC069B"/>
    <w:rsid w:val="00DC1047"/>
    <w:rsid w:val="00DD521F"/>
    <w:rsid w:val="00DE7A66"/>
    <w:rsid w:val="00DF756A"/>
    <w:rsid w:val="00DF7C95"/>
    <w:rsid w:val="00E105AE"/>
    <w:rsid w:val="00E10C03"/>
    <w:rsid w:val="00E153FD"/>
    <w:rsid w:val="00E16795"/>
    <w:rsid w:val="00E21336"/>
    <w:rsid w:val="00E2380C"/>
    <w:rsid w:val="00E23D81"/>
    <w:rsid w:val="00E25BF3"/>
    <w:rsid w:val="00E273CB"/>
    <w:rsid w:val="00E30FB6"/>
    <w:rsid w:val="00E3387B"/>
    <w:rsid w:val="00E375CF"/>
    <w:rsid w:val="00E410E9"/>
    <w:rsid w:val="00E412D4"/>
    <w:rsid w:val="00E45AE8"/>
    <w:rsid w:val="00E51F59"/>
    <w:rsid w:val="00E54E95"/>
    <w:rsid w:val="00E57756"/>
    <w:rsid w:val="00E64903"/>
    <w:rsid w:val="00E81F0A"/>
    <w:rsid w:val="00E87AA2"/>
    <w:rsid w:val="00E96228"/>
    <w:rsid w:val="00EA1621"/>
    <w:rsid w:val="00EA2AF7"/>
    <w:rsid w:val="00EA55B0"/>
    <w:rsid w:val="00EB15B4"/>
    <w:rsid w:val="00EC33F0"/>
    <w:rsid w:val="00EC6996"/>
    <w:rsid w:val="00EE021B"/>
    <w:rsid w:val="00EE6955"/>
    <w:rsid w:val="00EF3508"/>
    <w:rsid w:val="00EF710F"/>
    <w:rsid w:val="00F06DC5"/>
    <w:rsid w:val="00F078CA"/>
    <w:rsid w:val="00F16940"/>
    <w:rsid w:val="00F17139"/>
    <w:rsid w:val="00F26CAE"/>
    <w:rsid w:val="00F277D9"/>
    <w:rsid w:val="00F32AC0"/>
    <w:rsid w:val="00F41125"/>
    <w:rsid w:val="00F4544F"/>
    <w:rsid w:val="00F46375"/>
    <w:rsid w:val="00F5347F"/>
    <w:rsid w:val="00F574F4"/>
    <w:rsid w:val="00F6178F"/>
    <w:rsid w:val="00F723B1"/>
    <w:rsid w:val="00F75F9F"/>
    <w:rsid w:val="00F763B9"/>
    <w:rsid w:val="00F774FD"/>
    <w:rsid w:val="00F7789F"/>
    <w:rsid w:val="00F77E84"/>
    <w:rsid w:val="00F8498B"/>
    <w:rsid w:val="00F86BD5"/>
    <w:rsid w:val="00F86E33"/>
    <w:rsid w:val="00F86F3E"/>
    <w:rsid w:val="00FA2637"/>
    <w:rsid w:val="00FA2D8C"/>
    <w:rsid w:val="00FB0116"/>
    <w:rsid w:val="00FC103B"/>
    <w:rsid w:val="00FC7588"/>
    <w:rsid w:val="00FD019B"/>
    <w:rsid w:val="00FD5A7D"/>
    <w:rsid w:val="00FD6C17"/>
    <w:rsid w:val="00FE100D"/>
    <w:rsid w:val="00FE178A"/>
    <w:rsid w:val="00FE3B7F"/>
    <w:rsid w:val="00FF090C"/>
    <w:rsid w:val="00FF38DC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FEEF1"/>
  <w15:docId w15:val="{5F114AE9-AFFF-41BA-B6E6-BDC0ACFD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E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S Mincho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7E84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7E84"/>
    <w:rPr>
      <w:rFonts w:ascii="Times New Roman" w:eastAsia="MS Mincho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nhideWhenUsed/>
    <w:rsid w:val="00F06D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06DC5"/>
    <w:rPr>
      <w:rFonts w:ascii="Times New Roman" w:eastAsia="MS Mincho" w:hAnsi="Times New Roman" w:cs="Times New Roman"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95"/>
    <w:rPr>
      <w:rFonts w:ascii="Segoe UI" w:eastAsia="MS Mincho" w:hAnsi="Segoe UI" w:cs="Segoe UI"/>
      <w:noProof/>
      <w:sz w:val="18"/>
      <w:szCs w:val="18"/>
      <w:lang w:val="en-GB" w:eastAsia="fr-FR"/>
    </w:rPr>
  </w:style>
  <w:style w:type="paragraph" w:styleId="ListParagraph">
    <w:name w:val="List Paragraph"/>
    <w:basedOn w:val="Normal"/>
    <w:uiPriority w:val="34"/>
    <w:qFormat/>
    <w:rsid w:val="001B1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A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A46"/>
    <w:rPr>
      <w:rFonts w:ascii="Times New Roman" w:eastAsia="MS Mincho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A46"/>
    <w:rPr>
      <w:rFonts w:ascii="Times New Roman" w:eastAsia="MS Mincho" w:hAnsi="Times New Roman" w:cs="Times New Roman"/>
      <w:b/>
      <w:bCs/>
      <w:noProof/>
      <w:sz w:val="20"/>
      <w:szCs w:val="20"/>
      <w:lang w:val="en-GB" w:eastAsia="fr-FR"/>
    </w:rPr>
  </w:style>
  <w:style w:type="paragraph" w:customStyle="1" w:styleId="Default">
    <w:name w:val="Default"/>
    <w:rsid w:val="00794D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paragraph" w:customStyle="1" w:styleId="paragraph">
    <w:name w:val="paragraph"/>
    <w:basedOn w:val="Normal"/>
    <w:rsid w:val="000A7B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0A7B05"/>
  </w:style>
  <w:style w:type="character" w:customStyle="1" w:styleId="eop">
    <w:name w:val="eop"/>
    <w:basedOn w:val="DefaultParagraphFont"/>
    <w:rsid w:val="000A7B05"/>
  </w:style>
  <w:style w:type="character" w:styleId="Hyperlink">
    <w:name w:val="Hyperlink"/>
    <w:basedOn w:val="DefaultParagraphFont"/>
    <w:uiPriority w:val="99"/>
    <w:unhideWhenUsed/>
    <w:rsid w:val="00060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B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7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ie.int/en/what-we-do/standards/codes-and-manuals/aquatic-code-online-access/?id=169&amp;L=1&amp;htmfile=chapitre_biosecu_estab_aqua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ie.int/app/uploads/2021/05/a-aac-feb-2021-part-b-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johnsen\Downloads\Template_AHG-ToR_240120_21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2" ma:contentTypeDescription="Create a new document." ma:contentTypeScope="" ma:versionID="a2c752b094edbe811dc456a5d1f1b98e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7d73a6df82619c0a9b8989c96a90e793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4DEC-6052-4456-8CE8-98B4AE0C6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768A7-0C29-4574-ABAC-CF45543E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D8B9A-4827-45CE-A0DA-2D0FBAFCFF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81B11-F90E-47FE-83B7-099AE623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Template_AHG-ToR_240120_21016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Johnsen</dc:creator>
  <cp:keywords/>
  <cp:lastModifiedBy>Stian Johnsen</cp:lastModifiedBy>
  <cp:revision>10</cp:revision>
  <cp:lastPrinted>2019-06-23T23:44:00Z</cp:lastPrinted>
  <dcterms:created xsi:type="dcterms:W3CDTF">2021-10-27T07:55:00Z</dcterms:created>
  <dcterms:modified xsi:type="dcterms:W3CDTF">2021-11-15T16:29:00Z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</Properties>
</file>